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word/theme/themeOverride1.xml" ContentType="application/vnd.openxmlformats-officedocument.themeOverrid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43F" w:rsidRPr="00100059" w:rsidRDefault="00CB243F" w:rsidP="00100059">
      <w:pPr>
        <w:autoSpaceDE w:val="0"/>
        <w:autoSpaceDN w:val="0"/>
        <w:adjustRightInd w:val="0"/>
        <w:snapToGrid w:val="0"/>
        <w:spacing w:afterLines="50"/>
        <w:ind w:leftChars="300" w:left="660"/>
        <w:jc w:val="center"/>
        <w:rPr>
          <w:rFonts w:asciiTheme="majorBidi" w:hAnsiTheme="majorBidi" w:cstheme="majorBidi"/>
          <w:b/>
          <w:bCs/>
          <w:color w:val="31849B" w:themeColor="accent5" w:themeShade="BF"/>
          <w:sz w:val="32"/>
          <w:szCs w:val="32"/>
          <w:lang w:val="en-GB"/>
        </w:rPr>
      </w:pPr>
      <w:r w:rsidRPr="00100059">
        <w:rPr>
          <w:rFonts w:asciiTheme="majorBidi" w:hAnsiTheme="majorBidi" w:cstheme="majorBidi"/>
          <w:b/>
          <w:bCs/>
          <w:color w:val="31849B" w:themeColor="accent5" w:themeShade="BF"/>
          <w:sz w:val="32"/>
          <w:szCs w:val="32"/>
          <w:lang w:val="en-GB"/>
        </w:rPr>
        <w:t>12 years analysis of   bacterial isolates and their antibiotics sensitivity in a tertiary care burns unit</w:t>
      </w:r>
    </w:p>
    <w:p w:rsidR="00AE3E37" w:rsidRPr="00CB243F" w:rsidRDefault="00AE3E37" w:rsidP="00494130">
      <w:pPr>
        <w:pStyle w:val="Heading1"/>
        <w:spacing w:before="170"/>
        <w:ind w:left="0"/>
        <w:rPr>
          <w:lang w:val="en-GB"/>
        </w:rPr>
      </w:pPr>
    </w:p>
    <w:p w:rsidR="00CB243F" w:rsidRPr="00787EDF" w:rsidRDefault="00CB243F" w:rsidP="00CB243F">
      <w:pPr>
        <w:autoSpaceDE w:val="0"/>
        <w:autoSpaceDN w:val="0"/>
        <w:adjustRightInd w:val="0"/>
        <w:snapToGrid w:val="0"/>
        <w:ind w:leftChars="300" w:left="660"/>
        <w:rPr>
          <w:rFonts w:ascii="Cambria" w:hAnsi="Cambria" w:cs="Cambria"/>
          <w:b/>
          <w:bCs/>
        </w:rPr>
      </w:pPr>
      <w:r w:rsidRPr="00787EDF">
        <w:rPr>
          <w:rFonts w:ascii="Cambria" w:hAnsi="Cambria" w:cs="Cambria"/>
          <w:b/>
          <w:bCs/>
        </w:rPr>
        <w:t>Said Saud Al-Busaidi</w:t>
      </w:r>
      <w:r w:rsidRPr="0040563F">
        <w:rPr>
          <w:rFonts w:ascii="Cambria" w:hAnsi="Cambria" w:cs="Cambria"/>
          <w:b/>
          <w:bCs/>
          <w:vertAlign w:val="superscript"/>
        </w:rPr>
        <w:t>1</w:t>
      </w:r>
      <w:r>
        <w:rPr>
          <w:rFonts w:ascii="Cambria" w:hAnsi="Cambria" w:cs="Cambria"/>
          <w:b/>
          <w:bCs/>
        </w:rPr>
        <w:t xml:space="preserve">, </w:t>
      </w:r>
      <w:r w:rsidRPr="00787EDF">
        <w:rPr>
          <w:rFonts w:ascii="Cambria" w:hAnsi="Cambria" w:cs="Cambria"/>
          <w:b/>
          <w:bCs/>
        </w:rPr>
        <w:t>Zainab Said Al-Hashimy</w:t>
      </w:r>
      <w:r w:rsidRPr="0040563F">
        <w:rPr>
          <w:rFonts w:ascii="Cambria" w:hAnsi="Cambria" w:cs="Cambria"/>
          <w:b/>
          <w:bCs/>
          <w:vertAlign w:val="superscript"/>
        </w:rPr>
        <w:t>2</w:t>
      </w:r>
      <w:r>
        <w:rPr>
          <w:rFonts w:ascii="Cambria" w:hAnsi="Cambria" w:cs="Cambria"/>
          <w:b/>
          <w:bCs/>
        </w:rPr>
        <w:t xml:space="preserve">, </w:t>
      </w:r>
      <w:r w:rsidRPr="00787EDF">
        <w:rPr>
          <w:rFonts w:ascii="Cambria" w:hAnsi="Cambria" w:cs="Cambria"/>
          <w:b/>
          <w:bCs/>
        </w:rPr>
        <w:t>Adel Mohamed Hashish</w:t>
      </w:r>
      <w:r w:rsidRPr="0040563F">
        <w:rPr>
          <w:rFonts w:ascii="Cambria" w:hAnsi="Cambria" w:cs="Cambria"/>
          <w:b/>
          <w:bCs/>
          <w:vertAlign w:val="superscript"/>
        </w:rPr>
        <w:t>1</w:t>
      </w:r>
      <w:r>
        <w:rPr>
          <w:rFonts w:ascii="Cambria" w:hAnsi="Cambria" w:cs="Cambria"/>
          <w:b/>
          <w:bCs/>
        </w:rPr>
        <w:t>,</w:t>
      </w:r>
      <w:r w:rsidRPr="00787EDF">
        <w:rPr>
          <w:rFonts w:asciiTheme="majorBidi" w:eastAsiaTheme="minorEastAsia" w:hAnsiTheme="majorBidi" w:cstheme="majorBidi"/>
        </w:rPr>
        <w:t xml:space="preserve"> </w:t>
      </w:r>
      <w:r w:rsidRPr="00787EDF">
        <w:rPr>
          <w:rFonts w:ascii="Cambria" w:hAnsi="Cambria" w:cs="Cambria"/>
          <w:b/>
          <w:bCs/>
        </w:rPr>
        <w:t>Sheikh M</w:t>
      </w:r>
      <w:r w:rsidRPr="00787EDF">
        <w:rPr>
          <w:rFonts w:ascii="Cambria" w:hAnsi="Cambria" w:cs="Cambria"/>
          <w:b/>
          <w:bCs/>
        </w:rPr>
        <w:t>o</w:t>
      </w:r>
      <w:r w:rsidRPr="00787EDF">
        <w:rPr>
          <w:rFonts w:ascii="Cambria" w:hAnsi="Cambria" w:cs="Cambria"/>
          <w:b/>
          <w:bCs/>
        </w:rPr>
        <w:t>hammad Ashik Iqbal Faruquee</w:t>
      </w:r>
      <w:r w:rsidRPr="0040563F">
        <w:rPr>
          <w:rFonts w:ascii="Cambria" w:hAnsi="Cambria" w:cs="Cambria"/>
          <w:b/>
          <w:bCs/>
          <w:vertAlign w:val="superscript"/>
        </w:rPr>
        <w:t>1</w:t>
      </w:r>
      <w:r>
        <w:rPr>
          <w:rFonts w:ascii="Cambria" w:hAnsi="Cambria" w:cs="Cambria"/>
          <w:b/>
          <w:bCs/>
        </w:rPr>
        <w:t xml:space="preserve">, </w:t>
      </w:r>
      <w:r w:rsidRPr="00787EDF">
        <w:rPr>
          <w:rFonts w:ascii="Cambria" w:hAnsi="Cambria" w:cs="Cambria"/>
          <w:b/>
          <w:bCs/>
        </w:rPr>
        <w:t>Hassan Ahmed Hamouda</w:t>
      </w:r>
      <w:r w:rsidRPr="0040563F">
        <w:rPr>
          <w:rFonts w:ascii="Cambria" w:hAnsi="Cambria" w:cs="Cambria"/>
          <w:b/>
          <w:bCs/>
          <w:vertAlign w:val="superscript"/>
        </w:rPr>
        <w:t>1</w:t>
      </w:r>
      <w:r>
        <w:rPr>
          <w:rFonts w:ascii="Cambria" w:hAnsi="Cambria" w:cs="Cambria"/>
          <w:b/>
          <w:bCs/>
        </w:rPr>
        <w:t xml:space="preserve">, </w:t>
      </w:r>
      <w:r w:rsidRPr="00787EDF">
        <w:rPr>
          <w:rFonts w:ascii="Cambria" w:hAnsi="Cambria" w:cs="Cambria"/>
          <w:b/>
          <w:bCs/>
        </w:rPr>
        <w:t>Ahmed Osama Abdulhamed</w:t>
      </w:r>
      <w:r w:rsidRPr="0040563F">
        <w:rPr>
          <w:rFonts w:ascii="Cambria" w:hAnsi="Cambria" w:cs="Cambria"/>
          <w:b/>
          <w:bCs/>
          <w:vertAlign w:val="superscript"/>
        </w:rPr>
        <w:t>1</w:t>
      </w:r>
      <w:r>
        <w:rPr>
          <w:rFonts w:ascii="Cambria" w:hAnsi="Cambria" w:cs="Cambria"/>
          <w:b/>
          <w:bCs/>
        </w:rPr>
        <w:t xml:space="preserve">, </w:t>
      </w:r>
      <w:r w:rsidRPr="00787EDF">
        <w:rPr>
          <w:rFonts w:ascii="Cambria" w:hAnsi="Cambria" w:cs="Cambria"/>
          <w:b/>
          <w:bCs/>
        </w:rPr>
        <w:t>Fawzi Mohamed Abdul-Aleem</w:t>
      </w:r>
      <w:r w:rsidRPr="0040563F">
        <w:rPr>
          <w:rFonts w:ascii="Cambria" w:hAnsi="Cambria" w:cs="Cambria"/>
          <w:b/>
          <w:bCs/>
          <w:vertAlign w:val="superscript"/>
        </w:rPr>
        <w:t>1</w:t>
      </w:r>
    </w:p>
    <w:p w:rsidR="00CB243F" w:rsidRPr="00787EDF" w:rsidRDefault="00CB243F" w:rsidP="00CB243F">
      <w:pPr>
        <w:autoSpaceDE w:val="0"/>
        <w:autoSpaceDN w:val="0"/>
        <w:adjustRightInd w:val="0"/>
        <w:snapToGrid w:val="0"/>
        <w:ind w:leftChars="300" w:left="660"/>
        <w:rPr>
          <w:rFonts w:ascii="Cambria" w:hAnsi="Cambria" w:cs="Cambria"/>
          <w:b/>
          <w:bCs/>
        </w:rPr>
      </w:pPr>
    </w:p>
    <w:p w:rsidR="00CB243F" w:rsidRDefault="00CB243F" w:rsidP="00CB243F">
      <w:pPr>
        <w:autoSpaceDE w:val="0"/>
        <w:autoSpaceDN w:val="0"/>
        <w:adjustRightInd w:val="0"/>
        <w:snapToGrid w:val="0"/>
        <w:ind w:leftChars="300" w:left="660"/>
        <w:rPr>
          <w:rFonts w:ascii="Cambria" w:hAnsi="Cambria" w:cs="Cambria"/>
          <w:b/>
          <w:bCs/>
        </w:rPr>
      </w:pPr>
      <w:r w:rsidRPr="00787EDF">
        <w:rPr>
          <w:rFonts w:ascii="Cambria" w:hAnsi="Cambria" w:cs="Cambria"/>
          <w:b/>
          <w:bCs/>
        </w:rPr>
        <w:t xml:space="preserve"> </w:t>
      </w:r>
    </w:p>
    <w:p w:rsidR="00CB243F" w:rsidRDefault="00CB243F" w:rsidP="00CB243F">
      <w:pPr>
        <w:autoSpaceDE w:val="0"/>
        <w:autoSpaceDN w:val="0"/>
        <w:adjustRightInd w:val="0"/>
        <w:snapToGrid w:val="0"/>
        <w:ind w:leftChars="300" w:left="660"/>
        <w:rPr>
          <w:rFonts w:ascii="Calibri" w:hAnsi="Calibri" w:cs="Calibri"/>
        </w:rPr>
      </w:pPr>
      <w:r w:rsidRPr="0040563F">
        <w:rPr>
          <w:rFonts w:ascii="Calibri" w:hAnsi="Calibri" w:cs="Calibri"/>
          <w:vertAlign w:val="superscript"/>
        </w:rPr>
        <w:t>1</w:t>
      </w:r>
      <w:r>
        <w:rPr>
          <w:rFonts w:ascii="Calibri" w:hAnsi="Calibri" w:cs="Calibri"/>
        </w:rPr>
        <w:t xml:space="preserve">Department of </w:t>
      </w:r>
      <w:r w:rsidRPr="00787EDF">
        <w:rPr>
          <w:rFonts w:ascii="Calibri" w:hAnsi="Calibri" w:cs="Calibri"/>
        </w:rPr>
        <w:t>Plastic, Reconstructive and</w:t>
      </w:r>
      <w:r>
        <w:rPr>
          <w:rFonts w:ascii="Calibri" w:hAnsi="Calibri" w:cs="Calibri"/>
        </w:rPr>
        <w:t xml:space="preserve"> Craniofacial Surgery</w:t>
      </w:r>
      <w:r w:rsidRPr="00787EDF">
        <w:rPr>
          <w:rFonts w:ascii="Calibri" w:hAnsi="Calibri" w:cs="Calibri"/>
        </w:rPr>
        <w:t>, Khoula hosp</w:t>
      </w:r>
      <w:r>
        <w:rPr>
          <w:rFonts w:ascii="Calibri" w:hAnsi="Calibri" w:cs="Calibri"/>
        </w:rPr>
        <w:t xml:space="preserve">ital, Muscat, </w:t>
      </w:r>
      <w:r w:rsidRPr="00787EDF">
        <w:rPr>
          <w:rFonts w:ascii="Calibri" w:hAnsi="Calibri" w:cs="Calibri"/>
        </w:rPr>
        <w:t>Sultanate of Oman</w:t>
      </w:r>
    </w:p>
    <w:p w:rsidR="00CB243F" w:rsidRPr="00787EDF" w:rsidRDefault="00CB243F" w:rsidP="00CB243F">
      <w:pPr>
        <w:autoSpaceDE w:val="0"/>
        <w:autoSpaceDN w:val="0"/>
        <w:adjustRightInd w:val="0"/>
        <w:snapToGrid w:val="0"/>
        <w:ind w:leftChars="300" w:left="660"/>
        <w:rPr>
          <w:rFonts w:ascii="Calibri" w:hAnsi="Calibri" w:cs="Calibri"/>
        </w:rPr>
      </w:pPr>
      <w:r w:rsidRPr="0040563F">
        <w:rPr>
          <w:rFonts w:ascii="Calibri" w:hAnsi="Calibri" w:cs="Calibri"/>
          <w:vertAlign w:val="superscript"/>
        </w:rPr>
        <w:t>2</w:t>
      </w:r>
      <w:r w:rsidRPr="00787EDF">
        <w:rPr>
          <w:rFonts w:ascii="Calibri" w:hAnsi="Calibri" w:cs="Calibri"/>
        </w:rPr>
        <w:t>Directorate of pharmacy and medical stores, Khoula hospital, Muscat, Sultanate of Oman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CB243F" w:rsidRPr="00B31973" w:rsidRDefault="00CB243F" w:rsidP="00CB243F">
      <w:pPr>
        <w:pStyle w:val="1"/>
        <w:autoSpaceDE w:val="0"/>
        <w:autoSpaceDN w:val="0"/>
        <w:adjustRightInd w:val="0"/>
        <w:snapToGrid w:val="0"/>
        <w:spacing w:afterLines="50" w:line="240" w:lineRule="auto"/>
        <w:ind w:leftChars="300" w:left="660"/>
        <w:rPr>
          <w:rFonts w:ascii="Cambria" w:hAnsi="Cambria" w:cs="Cambria"/>
          <w:b/>
          <w:bCs/>
          <w:color w:val="31849B" w:themeColor="accent5" w:themeShade="BF"/>
          <w:sz w:val="24"/>
          <w:szCs w:val="24"/>
        </w:rPr>
      </w:pPr>
      <w:r w:rsidRPr="00B31973">
        <w:rPr>
          <w:rFonts w:ascii="Cambria" w:hAnsi="Cambria" w:cs="Cambria"/>
          <w:b/>
          <w:bCs/>
          <w:color w:val="31849B" w:themeColor="accent5" w:themeShade="BF"/>
          <w:sz w:val="24"/>
          <w:szCs w:val="24"/>
        </w:rPr>
        <w:lastRenderedPageBreak/>
        <w:t>Abstract</w:t>
      </w:r>
    </w:p>
    <w:p w:rsidR="00CB243F" w:rsidRPr="00100059" w:rsidRDefault="00CB243F" w:rsidP="00CB243F">
      <w:pPr>
        <w:pStyle w:val="1"/>
        <w:autoSpaceDE w:val="0"/>
        <w:autoSpaceDN w:val="0"/>
        <w:adjustRightInd w:val="0"/>
        <w:snapToGrid w:val="0"/>
        <w:spacing w:after="0"/>
        <w:ind w:leftChars="150" w:left="33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100059">
        <w:rPr>
          <w:rFonts w:asciiTheme="majorBidi" w:hAnsiTheme="majorBidi" w:cstheme="majorBidi"/>
          <w:sz w:val="24"/>
          <w:szCs w:val="24"/>
          <w:lang w:val="en-GB"/>
        </w:rPr>
        <w:t>The aim of this study was to review the changes in distribution of bacterial populations and their antibiotic sensitivity over 12 years in a tertiary care burn unit. Understanding the p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>e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 xml:space="preserve">riodic variation of isolated microorganisms and their antibiotic sensitivity helps in selecting the appropriate antimicrobial therapy before culture and sensitivity is reported. It also aids the design of antibiotics protocols. </w:t>
      </w:r>
    </w:p>
    <w:p w:rsidR="00CB243F" w:rsidRPr="00100059" w:rsidRDefault="00CB243F" w:rsidP="00CB243F">
      <w:pPr>
        <w:pStyle w:val="1"/>
        <w:autoSpaceDE w:val="0"/>
        <w:autoSpaceDN w:val="0"/>
        <w:adjustRightInd w:val="0"/>
        <w:snapToGrid w:val="0"/>
        <w:ind w:leftChars="150" w:left="33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100059">
        <w:rPr>
          <w:rFonts w:asciiTheme="majorBidi" w:hAnsiTheme="majorBidi" w:cstheme="majorBidi"/>
          <w:sz w:val="24"/>
          <w:szCs w:val="24"/>
          <w:lang w:val="en-GB"/>
        </w:rPr>
        <w:t>The study was retrospective. The data were obtained from the computerised hospital med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>i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>cal record system and the burn unit records.</w:t>
      </w:r>
    </w:p>
    <w:p w:rsidR="00CB243F" w:rsidRPr="00100059" w:rsidRDefault="00CB243F" w:rsidP="00CB243F">
      <w:pPr>
        <w:pStyle w:val="1"/>
        <w:autoSpaceDE w:val="0"/>
        <w:autoSpaceDN w:val="0"/>
        <w:adjustRightInd w:val="0"/>
        <w:snapToGrid w:val="0"/>
        <w:ind w:leftChars="150" w:left="33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100059">
        <w:rPr>
          <w:rFonts w:asciiTheme="majorBidi" w:hAnsiTheme="majorBidi" w:cstheme="majorBidi"/>
          <w:sz w:val="24"/>
          <w:szCs w:val="24"/>
          <w:lang w:val="en-GB"/>
        </w:rPr>
        <w:t xml:space="preserve">Overall, </w:t>
      </w:r>
      <w:r w:rsidRPr="00100059">
        <w:rPr>
          <w:rFonts w:asciiTheme="majorBidi" w:hAnsiTheme="majorBidi" w:cstheme="majorBidi"/>
          <w:i/>
          <w:iCs/>
          <w:sz w:val="24"/>
          <w:szCs w:val="24"/>
          <w:lang w:val="en-GB"/>
        </w:rPr>
        <w:t>Pseudomonas aeruginosa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 xml:space="preserve"> was the most commonly isolated microorganism followed by </w:t>
      </w:r>
      <w:r w:rsidRPr="0010005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Staphylococcus aureus, Meticillin-resistant Staphylococcus aureus </w:t>
      </w:r>
      <w:r w:rsidRPr="00100059">
        <w:rPr>
          <w:rFonts w:asciiTheme="majorBidi" w:hAnsiTheme="majorBidi" w:cstheme="majorBidi"/>
          <w:iCs/>
          <w:sz w:val="24"/>
          <w:szCs w:val="24"/>
          <w:lang w:val="en-GB"/>
        </w:rPr>
        <w:t>(MRSA)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 xml:space="preserve">, and the genus </w:t>
      </w:r>
      <w:r w:rsidRPr="00100059">
        <w:rPr>
          <w:rFonts w:asciiTheme="majorBidi" w:hAnsiTheme="majorBidi" w:cstheme="majorBidi"/>
          <w:i/>
          <w:iCs/>
          <w:sz w:val="24"/>
          <w:szCs w:val="24"/>
          <w:lang w:val="en-GB"/>
        </w:rPr>
        <w:t>Acinetobacter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Pr="00100059">
        <w:rPr>
          <w:rFonts w:asciiTheme="majorBidi" w:hAnsiTheme="majorBidi" w:cstheme="majorBidi"/>
          <w:i/>
          <w:iCs/>
          <w:sz w:val="24"/>
          <w:szCs w:val="24"/>
          <w:lang w:val="en-GB"/>
        </w:rPr>
        <w:t>Acinetobacter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 xml:space="preserve"> isolation rose rapidly and became more prevalent than </w:t>
      </w:r>
      <w:r w:rsidRPr="0010005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P. aeruginosa 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 xml:space="preserve">over the last three years. Other organisms became isolated more frequently, such as </w:t>
      </w:r>
      <w:r w:rsidRPr="00100059">
        <w:rPr>
          <w:rFonts w:asciiTheme="majorBidi" w:hAnsiTheme="majorBidi" w:cstheme="majorBidi"/>
          <w:i/>
          <w:iCs/>
          <w:sz w:val="24"/>
          <w:szCs w:val="24"/>
          <w:lang w:val="en-GB"/>
        </w:rPr>
        <w:t>Klebsiella pneumoniae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 xml:space="preserve">, but their overall prevalence was low. </w:t>
      </w:r>
      <w:r w:rsidRPr="0010005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Pseudomonas </w:t>
      </w:r>
      <w:r w:rsidRPr="00100059">
        <w:rPr>
          <w:rFonts w:asciiTheme="majorBidi" w:hAnsiTheme="majorBidi" w:cstheme="majorBidi"/>
          <w:iCs/>
          <w:sz w:val="24"/>
          <w:szCs w:val="24"/>
          <w:lang w:val="en-GB"/>
        </w:rPr>
        <w:t>species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 xml:space="preserve"> frequency of isolation declined. </w:t>
      </w:r>
    </w:p>
    <w:p w:rsidR="00CB243F" w:rsidRPr="00100059" w:rsidRDefault="00CB243F" w:rsidP="00CB243F">
      <w:pPr>
        <w:pStyle w:val="1"/>
        <w:autoSpaceDE w:val="0"/>
        <w:autoSpaceDN w:val="0"/>
        <w:adjustRightInd w:val="0"/>
        <w:snapToGrid w:val="0"/>
        <w:ind w:leftChars="150" w:left="330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100059">
        <w:rPr>
          <w:rFonts w:asciiTheme="majorBidi" w:hAnsiTheme="majorBidi" w:cstheme="majorBidi"/>
          <w:i/>
          <w:iCs/>
          <w:sz w:val="24"/>
          <w:szCs w:val="24"/>
          <w:lang w:val="en-GB"/>
        </w:rPr>
        <w:t xml:space="preserve">P. aeruginosa, </w:t>
      </w:r>
      <w:r w:rsidRPr="00100059">
        <w:rPr>
          <w:rFonts w:asciiTheme="majorBidi" w:hAnsiTheme="majorBidi" w:cstheme="majorBidi"/>
          <w:iCs/>
          <w:sz w:val="24"/>
          <w:szCs w:val="24"/>
          <w:lang w:val="en-GB"/>
        </w:rPr>
        <w:t>MRSA</w:t>
      </w:r>
      <w:r w:rsidRPr="00100059">
        <w:rPr>
          <w:rFonts w:asciiTheme="majorBidi" w:hAnsiTheme="majorBidi" w:cstheme="majorBidi"/>
          <w:i/>
          <w:iCs/>
          <w:sz w:val="24"/>
          <w:szCs w:val="24"/>
          <w:lang w:val="en-GB"/>
        </w:rPr>
        <w:t>,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 xml:space="preserve"> and other microorganisms showed increasing sensitivity to a number of antibiotics. MRSA remained highly sensitive to vancomycin, </w:t>
      </w:r>
      <w:r w:rsidRPr="00100059">
        <w:rPr>
          <w:rFonts w:asciiTheme="majorBidi" w:hAnsiTheme="majorBidi" w:cstheme="majorBidi"/>
          <w:i/>
          <w:iCs/>
          <w:sz w:val="24"/>
          <w:szCs w:val="24"/>
          <w:lang w:val="en-GB"/>
        </w:rPr>
        <w:t>Acinetobacter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 xml:space="preserve"> showed high resistance to all antibiotics tested except colistin. </w:t>
      </w:r>
      <w:r w:rsidRPr="00100059">
        <w:rPr>
          <w:rFonts w:asciiTheme="majorBidi" w:hAnsiTheme="majorBidi" w:cstheme="majorBidi"/>
          <w:i/>
          <w:iCs/>
          <w:sz w:val="24"/>
          <w:szCs w:val="24"/>
          <w:lang w:val="en-GB"/>
        </w:rPr>
        <w:t>K. pneumoniae</w:t>
      </w:r>
      <w:r w:rsidRPr="00100059">
        <w:rPr>
          <w:rFonts w:asciiTheme="majorBidi" w:hAnsiTheme="majorBidi" w:cstheme="majorBidi"/>
          <w:sz w:val="24"/>
          <w:szCs w:val="24"/>
          <w:lang w:val="en-GB"/>
        </w:rPr>
        <w:t xml:space="preserve"> was highly resistant to most of the antibiotics tested except the carbapenems, but the resistance to carbapenems increased over time. </w:t>
      </w:r>
    </w:p>
    <w:p w:rsidR="00CB243F" w:rsidRPr="00100059" w:rsidRDefault="00CB243F" w:rsidP="00CB243F">
      <w:pPr>
        <w:pStyle w:val="1"/>
        <w:autoSpaceDE w:val="0"/>
        <w:autoSpaceDN w:val="0"/>
        <w:adjustRightInd w:val="0"/>
        <w:snapToGrid w:val="0"/>
        <w:spacing w:after="0" w:line="240" w:lineRule="auto"/>
        <w:ind w:leftChars="150" w:left="330"/>
        <w:jc w:val="both"/>
        <w:rPr>
          <w:rFonts w:asciiTheme="majorBidi" w:hAnsiTheme="majorBidi" w:cstheme="majorBidi"/>
          <w:sz w:val="24"/>
          <w:szCs w:val="24"/>
          <w:lang w:val="en-GB" w:eastAsia="zh-CN"/>
        </w:rPr>
      </w:pPr>
    </w:p>
    <w:p w:rsidR="00CB243F" w:rsidRPr="00100059" w:rsidRDefault="00CB243F" w:rsidP="00CB243F">
      <w:pPr>
        <w:pStyle w:val="1"/>
        <w:autoSpaceDE w:val="0"/>
        <w:autoSpaceDN w:val="0"/>
        <w:adjustRightInd w:val="0"/>
        <w:snapToGrid w:val="0"/>
        <w:spacing w:afterLines="50" w:line="240" w:lineRule="auto"/>
        <w:ind w:leftChars="300" w:left="660"/>
        <w:rPr>
          <w:rFonts w:asciiTheme="majorBidi" w:hAnsiTheme="majorBidi" w:cstheme="majorBidi"/>
          <w:b/>
          <w:bCs/>
          <w:color w:val="31849B" w:themeColor="accent5" w:themeShade="BF"/>
          <w:sz w:val="24"/>
          <w:szCs w:val="24"/>
        </w:rPr>
      </w:pPr>
      <w:r w:rsidRPr="00100059">
        <w:rPr>
          <w:rFonts w:asciiTheme="majorBidi" w:hAnsiTheme="majorBidi" w:cstheme="majorBidi"/>
          <w:b/>
          <w:bCs/>
          <w:color w:val="31849B" w:themeColor="accent5" w:themeShade="BF"/>
          <w:sz w:val="24"/>
          <w:szCs w:val="24"/>
        </w:rPr>
        <w:t>Keywords</w:t>
      </w:r>
    </w:p>
    <w:p w:rsidR="00CB243F" w:rsidRPr="00100059" w:rsidRDefault="00CB243F" w:rsidP="00CB243F">
      <w:pPr>
        <w:autoSpaceDE w:val="0"/>
        <w:autoSpaceDN w:val="0"/>
        <w:adjustRightInd w:val="0"/>
        <w:snapToGrid w:val="0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100059"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     Burn; Microorganism; Antibiotic; Resistance; Sensitivity</w:t>
      </w:r>
    </w:p>
    <w:p w:rsidR="00CB243F" w:rsidRPr="00100059" w:rsidRDefault="00CB243F" w:rsidP="00CB243F">
      <w:pPr>
        <w:pStyle w:val="1"/>
        <w:autoSpaceDE w:val="0"/>
        <w:autoSpaceDN w:val="0"/>
        <w:adjustRightInd w:val="0"/>
        <w:snapToGrid w:val="0"/>
        <w:ind w:leftChars="150" w:left="330"/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CB243F" w:rsidRDefault="00CB243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B243F" w:rsidRDefault="00CB243F" w:rsidP="00CB243F">
      <w:r>
        <w:t>Figure1. Pattern of bacterial isolates</w:t>
      </w:r>
    </w:p>
    <w:p w:rsidR="00CB243F" w:rsidRDefault="00CB243F" w:rsidP="00CB243F"/>
    <w:p w:rsidR="00CB243F" w:rsidRDefault="00CB243F" w:rsidP="00CB243F">
      <w:r w:rsidRPr="00CB243F">
        <w:drawing>
          <wp:inline distT="0" distB="0" distL="0" distR="0">
            <wp:extent cx="5808269" cy="3138221"/>
            <wp:effectExtent l="19050" t="0" r="21031" b="5029"/>
            <wp:docPr id="3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B243F" w:rsidRDefault="00CB243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CB243F" w:rsidRDefault="00CB243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B72EB6" w:rsidRDefault="005973B9" w:rsidP="00B72EB6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100059" w:rsidRDefault="00100059" w:rsidP="00B72EB6">
      <w:pPr>
        <w:spacing w:line="204" w:lineRule="exact"/>
        <w:rPr>
          <w:rFonts w:ascii="Arial"/>
          <w:b/>
          <w:sz w:val="20"/>
        </w:rPr>
      </w:pPr>
    </w:p>
    <w:p w:rsidR="00B72EB6" w:rsidRDefault="00B72EB6" w:rsidP="005973B9">
      <w:pPr>
        <w:spacing w:line="204" w:lineRule="exact"/>
        <w:rPr>
          <w:rFonts w:ascii="Arial"/>
          <w:b/>
          <w:sz w:val="20"/>
        </w:rPr>
      </w:pPr>
      <w:r>
        <w:rPr>
          <w:rFonts w:ascii="Verdana" w:hAnsi="Verdana"/>
          <w:color w:val="000000"/>
          <w:sz w:val="16"/>
          <w:szCs w:val="16"/>
          <w:shd w:val="clear" w:color="auto" w:fill="FFFFFF"/>
        </w:rPr>
        <w:t>1- Al-Busaidi, S. , Al-Hashimy, Z. , Hashish, A. , Faruquee, S. , Hamouda, H. , Abdulhamed, A. and Abdul-Aleem, F. (2016) 12 Years Analysis of Bacterial Isolates and Their Antibiotics Sensitivity in a Tertiary Care Burns Unit.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i/>
          <w:iCs/>
          <w:color w:val="000000"/>
          <w:sz w:val="16"/>
          <w:szCs w:val="16"/>
          <w:shd w:val="clear" w:color="auto" w:fill="FFFFFF"/>
        </w:rPr>
        <w:t>Modern Plastic Surgery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,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b/>
          <w:bCs/>
          <w:color w:val="000000"/>
          <w:sz w:val="16"/>
          <w:szCs w:val="16"/>
          <w:shd w:val="clear" w:color="auto" w:fill="FFFFFF"/>
        </w:rPr>
        <w:t>6</w:t>
      </w:r>
      <w:r>
        <w:rPr>
          <w:rFonts w:ascii="Verdana" w:hAnsi="Verdana"/>
          <w:color w:val="000000"/>
          <w:sz w:val="16"/>
          <w:szCs w:val="16"/>
          <w:shd w:val="clear" w:color="auto" w:fill="FFFFFF"/>
        </w:rPr>
        <w:t>, 11-19. doi:</w:t>
      </w:r>
      <w: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hyperlink r:id="rId10" w:tgtFrame="_blank" w:history="1">
        <w:r>
          <w:rPr>
            <w:rStyle w:val="Hyperlink"/>
            <w:rFonts w:ascii="Verdana" w:hAnsi="Verdana"/>
            <w:color w:val="185FAF"/>
            <w:sz w:val="16"/>
            <w:szCs w:val="16"/>
            <w:shd w:val="clear" w:color="auto" w:fill="FFFFFF"/>
          </w:rPr>
          <w:t>10.4236/mps.2016.63003</w:t>
        </w:r>
      </w:hyperlink>
      <w:r>
        <w:rPr>
          <w:rFonts w:ascii="Verdana" w:hAnsi="Verdana"/>
          <w:color w:val="000000"/>
          <w:sz w:val="16"/>
          <w:szCs w:val="16"/>
          <w:shd w:val="clear" w:color="auto" w:fill="FFFFFF"/>
        </w:rPr>
        <w:t>.</w:t>
      </w:r>
    </w:p>
    <w:p w:rsidR="00B72EB6" w:rsidRDefault="00B72EB6">
      <w:pPr>
        <w:pStyle w:val="BodyText"/>
        <w:spacing w:line="40" w:lineRule="exact"/>
        <w:ind w:left="2202"/>
        <w:rPr>
          <w:rFonts w:ascii="Verdana" w:hAnsi="Verdana"/>
          <w:color w:val="000000"/>
          <w:sz w:val="15"/>
          <w:szCs w:val="15"/>
          <w:shd w:val="clear" w:color="auto" w:fill="FFFFFF"/>
        </w:rPr>
      </w:pPr>
    </w:p>
    <w:p w:rsidR="00B72EB6" w:rsidRDefault="00B72EB6">
      <w:pPr>
        <w:pStyle w:val="BodyText"/>
        <w:spacing w:line="40" w:lineRule="exact"/>
        <w:ind w:left="2202"/>
        <w:rPr>
          <w:rFonts w:ascii="Verdana" w:hAnsi="Verdana"/>
          <w:color w:val="000000"/>
          <w:sz w:val="15"/>
          <w:szCs w:val="15"/>
          <w:shd w:val="clear" w:color="auto" w:fill="FFFFFF"/>
        </w:rPr>
      </w:pPr>
    </w:p>
    <w:p w:rsidR="00B72EB6" w:rsidRDefault="00B72EB6">
      <w:pPr>
        <w:pStyle w:val="BodyText"/>
        <w:spacing w:line="40" w:lineRule="exact"/>
        <w:ind w:left="2202"/>
        <w:rPr>
          <w:rFonts w:ascii="Verdana" w:hAnsi="Verdana"/>
          <w:color w:val="000000"/>
          <w:sz w:val="15"/>
          <w:szCs w:val="15"/>
          <w:shd w:val="clear" w:color="auto" w:fill="FFFFFF"/>
        </w:rPr>
      </w:pPr>
    </w:p>
    <w:p w:rsidR="00B72EB6" w:rsidRDefault="00B72EB6" w:rsidP="0099045B">
      <w:pPr>
        <w:pStyle w:val="BodyText"/>
        <w:spacing w:line="40" w:lineRule="exact"/>
        <w:rPr>
          <w:rFonts w:ascii="Calibri"/>
          <w:noProof/>
          <w:sz w:val="4"/>
        </w:rPr>
      </w:pPr>
    </w:p>
    <w:p w:rsidR="00B72EB6" w:rsidRDefault="00B72EB6">
      <w:pPr>
        <w:pStyle w:val="BodyText"/>
        <w:spacing w:line="40" w:lineRule="exact"/>
        <w:ind w:left="2202"/>
        <w:rPr>
          <w:rFonts w:ascii="Calibri"/>
          <w:noProof/>
          <w:sz w:val="4"/>
        </w:rPr>
      </w:pPr>
    </w:p>
    <w:p w:rsidR="00B72EB6" w:rsidRDefault="00B72EB6">
      <w:pPr>
        <w:pStyle w:val="BodyText"/>
        <w:spacing w:line="40" w:lineRule="exact"/>
        <w:ind w:left="2202"/>
        <w:rPr>
          <w:rFonts w:ascii="Calibri"/>
          <w:noProof/>
          <w:sz w:val="4"/>
        </w:rPr>
      </w:pPr>
    </w:p>
    <w:p w:rsidR="00B72EB6" w:rsidRDefault="00B72EB6">
      <w:pPr>
        <w:pStyle w:val="BodyText"/>
        <w:spacing w:line="40" w:lineRule="exact"/>
        <w:ind w:left="2202"/>
        <w:rPr>
          <w:rFonts w:ascii="Calibri"/>
          <w:noProof/>
          <w:sz w:val="4"/>
        </w:rPr>
      </w:pPr>
    </w:p>
    <w:p w:rsidR="00B72EB6" w:rsidRDefault="00B72EB6">
      <w:pPr>
        <w:pStyle w:val="BodyText"/>
        <w:spacing w:line="40" w:lineRule="exact"/>
        <w:ind w:left="2202"/>
        <w:rPr>
          <w:rFonts w:ascii="Calibri"/>
          <w:noProof/>
          <w:sz w:val="4"/>
        </w:rPr>
      </w:pPr>
    </w:p>
    <w:p w:rsidR="00CB243F" w:rsidRDefault="00CB243F">
      <w:pPr>
        <w:pStyle w:val="BodyText"/>
        <w:spacing w:line="40" w:lineRule="exact"/>
        <w:ind w:left="2202"/>
        <w:rPr>
          <w:rFonts w:ascii="Calibri"/>
          <w:noProof/>
          <w:sz w:val="4"/>
        </w:rPr>
      </w:pPr>
    </w:p>
    <w:p w:rsidR="00AE3E37" w:rsidRDefault="006529D8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100059" w:rsidRDefault="008756E6" w:rsidP="00100059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B72EB6">
        <w:rPr>
          <w:noProof/>
        </w:rPr>
        <w:drawing>
          <wp:inline distT="0" distB="0" distL="0" distR="0">
            <wp:extent cx="1320165" cy="1741170"/>
            <wp:effectExtent l="19050" t="0" r="0" b="0"/>
            <wp:docPr id="4" name="Picture 2" descr="G:\zainab\personal paper\doucment\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zainab\personal paper\doucment\pic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174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B72EB6" w:rsidRPr="003B214C" w:rsidRDefault="00B72EB6" w:rsidP="008A78DF">
      <w:pPr>
        <w:pStyle w:val="ListParagraph"/>
        <w:widowControl/>
        <w:numPr>
          <w:ilvl w:val="0"/>
          <w:numId w:val="4"/>
        </w:numPr>
        <w:spacing w:before="0" w:after="200" w:line="276" w:lineRule="auto"/>
        <w:contextualSpacing/>
        <w:jc w:val="lowKashida"/>
        <w:rPr>
          <w:rFonts w:asciiTheme="majorBidi" w:hAnsiTheme="majorBidi" w:cstheme="majorBidi"/>
          <w:sz w:val="24"/>
          <w:szCs w:val="24"/>
        </w:rPr>
      </w:pPr>
      <w:r w:rsidRPr="00100059">
        <w:rPr>
          <w:rFonts w:asciiTheme="majorBidi" w:hAnsiTheme="majorBidi" w:cstheme="majorBidi"/>
          <w:sz w:val="24"/>
          <w:szCs w:val="24"/>
        </w:rPr>
        <w:t xml:space="preserve">Zainab </w:t>
      </w:r>
      <w:r w:rsidR="003B214C">
        <w:rPr>
          <w:rFonts w:asciiTheme="majorBidi" w:hAnsiTheme="majorBidi" w:cstheme="majorBidi"/>
          <w:sz w:val="24"/>
          <w:szCs w:val="24"/>
        </w:rPr>
        <w:t>Al-Hash</w:t>
      </w:r>
      <w:r w:rsidRPr="00100059">
        <w:rPr>
          <w:rFonts w:asciiTheme="majorBidi" w:hAnsiTheme="majorBidi" w:cstheme="majorBidi"/>
          <w:sz w:val="24"/>
          <w:szCs w:val="24"/>
        </w:rPr>
        <w:t>imy</w:t>
      </w:r>
      <w:r w:rsidR="006267AD" w:rsidRPr="00100059">
        <w:rPr>
          <w:rFonts w:asciiTheme="majorBidi" w:hAnsiTheme="majorBidi" w:cstheme="majorBidi"/>
          <w:sz w:val="24"/>
          <w:szCs w:val="24"/>
        </w:rPr>
        <w:t xml:space="preserve"> (</w:t>
      </w:r>
      <w:r w:rsidR="003B214C">
        <w:rPr>
          <w:rFonts w:asciiTheme="majorBidi" w:hAnsiTheme="majorBidi" w:cstheme="majorBidi"/>
          <w:sz w:val="24"/>
          <w:szCs w:val="24"/>
        </w:rPr>
        <w:t>Msc</w:t>
      </w:r>
      <w:r w:rsidR="006267AD" w:rsidRPr="00100059">
        <w:rPr>
          <w:rFonts w:asciiTheme="majorBidi" w:hAnsiTheme="majorBidi" w:cstheme="majorBidi"/>
          <w:sz w:val="24"/>
          <w:szCs w:val="24"/>
        </w:rPr>
        <w:t>. Pharmacotherapy and medicine Management), is</w:t>
      </w:r>
      <w:r w:rsidR="00F1168F" w:rsidRPr="00100059">
        <w:rPr>
          <w:rFonts w:asciiTheme="majorBidi" w:hAnsiTheme="majorBidi" w:cstheme="majorBidi"/>
          <w:sz w:val="24"/>
          <w:szCs w:val="24"/>
        </w:rPr>
        <w:t xml:space="preserve"> senior specialized Pharmacist</w:t>
      </w:r>
      <w:r w:rsidRPr="00100059">
        <w:rPr>
          <w:rFonts w:asciiTheme="majorBidi" w:hAnsiTheme="majorBidi" w:cstheme="majorBidi"/>
          <w:sz w:val="24"/>
          <w:szCs w:val="24"/>
        </w:rPr>
        <w:t xml:space="preserve"> in </w:t>
      </w:r>
      <w:r w:rsidR="00F1168F" w:rsidRPr="00100059">
        <w:rPr>
          <w:rFonts w:asciiTheme="majorBidi" w:hAnsiTheme="majorBidi" w:cstheme="majorBidi"/>
          <w:sz w:val="24"/>
          <w:szCs w:val="24"/>
        </w:rPr>
        <w:t>Plastic and</w:t>
      </w:r>
      <w:r w:rsidRPr="00100059">
        <w:rPr>
          <w:rFonts w:asciiTheme="majorBidi" w:hAnsiTheme="majorBidi" w:cstheme="majorBidi"/>
          <w:sz w:val="24"/>
          <w:szCs w:val="24"/>
        </w:rPr>
        <w:t xml:space="preserve"> Hand surgery wards.</w:t>
      </w:r>
      <w:r w:rsidR="00F1168F" w:rsidRPr="00100059">
        <w:rPr>
          <w:rFonts w:asciiTheme="majorBidi" w:hAnsiTheme="majorBidi" w:cstheme="majorBidi"/>
          <w:sz w:val="24"/>
          <w:szCs w:val="24"/>
        </w:rPr>
        <w:t xml:space="preserve"> She developed her skills in Pharmacy management since 2006 in running the OPD Pharmacies in the Tertiary care Hospital Khoula Hospital in Oman. She </w:t>
      </w:r>
      <w:r w:rsidR="00100059" w:rsidRPr="00100059">
        <w:rPr>
          <w:rFonts w:asciiTheme="majorBidi" w:hAnsiTheme="majorBidi" w:cstheme="majorBidi"/>
          <w:sz w:val="24"/>
          <w:szCs w:val="24"/>
        </w:rPr>
        <w:t>is</w:t>
      </w:r>
      <w:r w:rsidR="00F1168F" w:rsidRPr="00100059">
        <w:rPr>
          <w:rFonts w:asciiTheme="majorBidi" w:hAnsiTheme="majorBidi" w:cstheme="majorBidi"/>
          <w:sz w:val="24"/>
          <w:szCs w:val="24"/>
        </w:rPr>
        <w:t xml:space="preserve"> member in Education and Training in Pharmacy department. She is </w:t>
      </w:r>
      <w:r w:rsidR="00196CE4" w:rsidRPr="00100059">
        <w:rPr>
          <w:rFonts w:asciiTheme="majorBidi" w:hAnsiTheme="majorBidi" w:cstheme="majorBidi"/>
          <w:sz w:val="24"/>
          <w:szCs w:val="24"/>
        </w:rPr>
        <w:t xml:space="preserve">interest in Bacterial Resistance </w:t>
      </w:r>
      <w:r w:rsidR="006267AD" w:rsidRPr="00100059">
        <w:rPr>
          <w:rFonts w:asciiTheme="majorBidi" w:hAnsiTheme="majorBidi" w:cstheme="majorBidi"/>
          <w:sz w:val="24"/>
          <w:szCs w:val="24"/>
        </w:rPr>
        <w:t>and antimicrobial</w:t>
      </w:r>
      <w:r w:rsidR="00196CE4" w:rsidRPr="00100059">
        <w:rPr>
          <w:rFonts w:asciiTheme="majorBidi" w:hAnsiTheme="majorBidi" w:cstheme="majorBidi"/>
          <w:sz w:val="24"/>
          <w:szCs w:val="24"/>
        </w:rPr>
        <w:t xml:space="preserve"> stewardship. She is doing </w:t>
      </w:r>
      <w:r w:rsidR="006267AD" w:rsidRPr="00100059">
        <w:rPr>
          <w:rFonts w:asciiTheme="majorBidi" w:hAnsiTheme="majorBidi" w:cstheme="majorBidi"/>
          <w:sz w:val="24"/>
          <w:szCs w:val="24"/>
        </w:rPr>
        <w:t>r</w:t>
      </w:r>
      <w:r w:rsidR="00100059" w:rsidRPr="00100059">
        <w:rPr>
          <w:rFonts w:asciiTheme="majorBidi" w:hAnsiTheme="majorBidi" w:cstheme="majorBidi"/>
          <w:sz w:val="24"/>
          <w:szCs w:val="24"/>
        </w:rPr>
        <w:t>esearch</w:t>
      </w:r>
      <w:r w:rsidR="006267AD" w:rsidRPr="00100059">
        <w:rPr>
          <w:rFonts w:asciiTheme="majorBidi" w:hAnsiTheme="majorBidi" w:cstheme="majorBidi"/>
          <w:sz w:val="24"/>
          <w:szCs w:val="24"/>
        </w:rPr>
        <w:t xml:space="preserve"> </w:t>
      </w:r>
      <w:r w:rsidR="00196CE4" w:rsidRPr="00100059">
        <w:rPr>
          <w:rFonts w:asciiTheme="majorBidi" w:hAnsiTheme="majorBidi" w:cstheme="majorBidi"/>
          <w:sz w:val="24"/>
          <w:szCs w:val="24"/>
        </w:rPr>
        <w:t xml:space="preserve">in </w:t>
      </w:r>
      <w:r w:rsidR="00100059" w:rsidRPr="00100059">
        <w:rPr>
          <w:rFonts w:asciiTheme="majorBidi" w:hAnsiTheme="majorBidi" w:cstheme="majorBidi"/>
          <w:sz w:val="24"/>
          <w:szCs w:val="24"/>
        </w:rPr>
        <w:t xml:space="preserve">the uses </w:t>
      </w:r>
      <w:r w:rsidR="006267AD" w:rsidRPr="00100059">
        <w:rPr>
          <w:rFonts w:asciiTheme="majorBidi" w:hAnsiTheme="majorBidi" w:cstheme="majorBidi"/>
          <w:sz w:val="24"/>
          <w:szCs w:val="24"/>
        </w:rPr>
        <w:t>of antibiotic in surgical prophylaxis.</w:t>
      </w:r>
      <w:r w:rsidR="003B214C">
        <w:rPr>
          <w:rFonts w:asciiTheme="majorBidi" w:hAnsiTheme="majorBidi" w:cstheme="majorBidi"/>
          <w:sz w:val="24"/>
          <w:szCs w:val="24"/>
        </w:rPr>
        <w:t xml:space="preserve"> She is applying the knowledge of Pharmacokinetic/ Pharmacodynamic in </w:t>
      </w:r>
      <w:r w:rsidR="008A78DF">
        <w:rPr>
          <w:rFonts w:asciiTheme="majorBidi" w:hAnsiTheme="majorBidi" w:cstheme="majorBidi"/>
          <w:sz w:val="24"/>
          <w:szCs w:val="24"/>
        </w:rPr>
        <w:t>antibiotic</w:t>
      </w:r>
      <w:r w:rsidR="003B214C">
        <w:rPr>
          <w:rFonts w:asciiTheme="majorBidi" w:hAnsiTheme="majorBidi" w:cstheme="majorBidi"/>
          <w:sz w:val="24"/>
          <w:szCs w:val="24"/>
        </w:rPr>
        <w:t xml:space="preserve"> to avoid emergency resistance of bacteria.</w:t>
      </w:r>
    </w:p>
    <w:p w:rsidR="00B72EB6" w:rsidRDefault="00B72EB6" w:rsidP="00724C6E">
      <w:pPr>
        <w:tabs>
          <w:tab w:val="left" w:pos="6660"/>
        </w:tabs>
        <w:spacing w:before="62"/>
        <w:ind w:left="4217" w:right="1960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Zainab Said Muhammed AL Hashimy</w:t>
      </w:r>
    </w:p>
    <w:p w:rsidR="00B72EB6" w:rsidRDefault="00724C6E" w:rsidP="00B72EB6">
      <w:pPr>
        <w:tabs>
          <w:tab w:val="left" w:pos="6660"/>
        </w:tabs>
        <w:spacing w:before="62"/>
        <w:ind w:left="4217" w:right="1960"/>
        <w:rPr>
          <w:rFonts w:ascii="Arial" w:hAnsi="Arial" w:cs="Arial"/>
          <w:sz w:val="14"/>
        </w:rPr>
      </w:pPr>
      <w:r w:rsidRPr="00724C6E">
        <w:rPr>
          <w:rFonts w:ascii="Arial" w:hAnsi="Arial" w:cs="Arial"/>
          <w:sz w:val="14"/>
        </w:rPr>
        <w:t>Tel:</w:t>
      </w:r>
      <w:r>
        <w:rPr>
          <w:rFonts w:ascii="Arial" w:hAnsi="Arial" w:cs="Arial"/>
          <w:sz w:val="14"/>
        </w:rPr>
        <w:t xml:space="preserve"> </w:t>
      </w:r>
      <w:r w:rsidR="00B72EB6">
        <w:rPr>
          <w:rFonts w:ascii="Arial" w:hAnsi="Arial" w:cs="Arial"/>
          <w:sz w:val="14"/>
        </w:rPr>
        <w:t>+96895414656</w:t>
      </w:r>
    </w:p>
    <w:p w:rsidR="00AE3E37" w:rsidRPr="0099045B" w:rsidRDefault="00724C6E" w:rsidP="0099045B">
      <w:pPr>
        <w:tabs>
          <w:tab w:val="left" w:pos="6660"/>
        </w:tabs>
        <w:spacing w:before="62"/>
        <w:ind w:left="4217" w:right="1960"/>
        <w:sectPr w:rsidR="00AE3E37" w:rsidRPr="0099045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724C6E">
        <w:rPr>
          <w:rFonts w:ascii="Arial"/>
          <w:sz w:val="14"/>
        </w:rPr>
        <w:t>Category</w:t>
      </w:r>
      <w:r>
        <w:rPr>
          <w:rFonts w:ascii="Arial"/>
          <w:sz w:val="14"/>
        </w:rPr>
        <w:t>: (</w:t>
      </w:r>
      <w:r w:rsidRPr="00724C6E">
        <w:rPr>
          <w:rFonts w:ascii="Arial"/>
          <w:sz w:val="14"/>
        </w:rPr>
        <w:t>Poster presentation)</w:t>
      </w:r>
      <w:r>
        <w:rPr>
          <w:rFonts w:ascii="Arial"/>
          <w:sz w:val="14"/>
        </w:rPr>
        <w:br/>
        <w:t xml:space="preserve">Email: </w:t>
      </w:r>
      <w:hyperlink r:id="rId12" w:history="1">
        <w:r w:rsidR="0099045B" w:rsidRPr="00BF0CAF">
          <w:rPr>
            <w:rStyle w:val="Hyperlink"/>
          </w:rPr>
          <w:t>loutes2006@yahoo.com</w:t>
        </w:r>
      </w:hyperlink>
      <w:bookmarkStart w:id="0" w:name="_GoBack"/>
      <w:bookmarkEnd w:id="0"/>
      <w:r w:rsidR="0099045B">
        <w:t xml:space="preserve"> </w:t>
      </w:r>
    </w:p>
    <w:p w:rsidR="00AE3E37" w:rsidRDefault="00AE3E37" w:rsidP="0099045B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5DBE" w:rsidRDefault="00A95DBE">
      <w:r>
        <w:separator/>
      </w:r>
    </w:p>
  </w:endnote>
  <w:endnote w:type="continuationSeparator" w:id="1">
    <w:p w:rsidR="00A95DBE" w:rsidRDefault="00A95D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529D8">
    <w:pPr>
      <w:pStyle w:val="BodyText"/>
      <w:spacing w:line="14" w:lineRule="auto"/>
      <w:rPr>
        <w:sz w:val="20"/>
      </w:rPr>
    </w:pPr>
    <w:r w:rsidRPr="006529D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6529D8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6529D8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5DBE" w:rsidRDefault="00A95DBE">
      <w:r>
        <w:separator/>
      </w:r>
    </w:p>
  </w:footnote>
  <w:footnote w:type="continuationSeparator" w:id="1">
    <w:p w:rsidR="00A95DBE" w:rsidRDefault="00A95D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6529D8">
    <w:pPr>
      <w:pStyle w:val="BodyText"/>
      <w:spacing w:line="14" w:lineRule="auto"/>
      <w:rPr>
        <w:sz w:val="20"/>
      </w:rPr>
    </w:pPr>
    <w:r w:rsidRPr="006529D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6529D8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5pt;height:11.5pt" o:bullet="t">
        <v:imagedata r:id="rId1" o:title="BD14981_"/>
      </v:shape>
    </w:pict>
  </w:numPicBullet>
  <w:abstractNum w:abstractNumId="0">
    <w:nsid w:val="03E4765C"/>
    <w:multiLevelType w:val="hybridMultilevel"/>
    <w:tmpl w:val="A75AC18E"/>
    <w:lvl w:ilvl="0" w:tplc="3F228E5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E2911"/>
    <w:rsid w:val="00100059"/>
    <w:rsid w:val="001263DF"/>
    <w:rsid w:val="00196CE4"/>
    <w:rsid w:val="00292ED9"/>
    <w:rsid w:val="003B214C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267AD"/>
    <w:rsid w:val="0063497F"/>
    <w:rsid w:val="006529D8"/>
    <w:rsid w:val="00724C6E"/>
    <w:rsid w:val="00873DF0"/>
    <w:rsid w:val="008756E6"/>
    <w:rsid w:val="008A78DF"/>
    <w:rsid w:val="0099045B"/>
    <w:rsid w:val="009B2D44"/>
    <w:rsid w:val="00A07E82"/>
    <w:rsid w:val="00A95DBE"/>
    <w:rsid w:val="00A9710C"/>
    <w:rsid w:val="00AE3E37"/>
    <w:rsid w:val="00B21A57"/>
    <w:rsid w:val="00B72EB6"/>
    <w:rsid w:val="00C33602"/>
    <w:rsid w:val="00CB243F"/>
    <w:rsid w:val="00CD6F55"/>
    <w:rsid w:val="00D307F1"/>
    <w:rsid w:val="00DE3104"/>
    <w:rsid w:val="00F1168F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1">
    <w:name w:val="列出段落1"/>
    <w:basedOn w:val="Normal"/>
    <w:uiPriority w:val="99"/>
    <w:rsid w:val="00CB243F"/>
    <w:pPr>
      <w:widowControl/>
      <w:spacing w:after="200" w:line="276" w:lineRule="auto"/>
      <w:ind w:left="720"/>
    </w:pPr>
    <w:rPr>
      <w:rFonts w:ascii="Calibri" w:eastAsia="SimSun" w:hAnsi="Calibri" w:cs="Calibri"/>
      <w:lang w:val="tr-TR"/>
    </w:rPr>
  </w:style>
  <w:style w:type="character" w:customStyle="1" w:styleId="apple-converted-space">
    <w:name w:val="apple-converted-space"/>
    <w:basedOn w:val="DefaultParagraphFont"/>
    <w:rsid w:val="00B72E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loutes2006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://dx.doi.org/10.4236/mps.2016.63003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Office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ser>
          <c:idx val="3"/>
          <c:order val="0"/>
          <c:tx>
            <c:strRef>
              <c:f>work4!$H$6</c:f>
              <c:strCache>
                <c:ptCount val="1"/>
                <c:pt idx="0">
                  <c:v>2012-2014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cat>
            <c:strRef>
              <c:f>work4!$D$7:$D$22</c:f>
              <c:strCache>
                <c:ptCount val="15"/>
                <c:pt idx="0">
                  <c:v>Acinetobacter</c:v>
                </c:pt>
                <c:pt idx="1">
                  <c:v>Enterobacter </c:v>
                </c:pt>
                <c:pt idx="2">
                  <c:v>Escherichia coli </c:v>
                </c:pt>
                <c:pt idx="3">
                  <c:v>Klebsiella pneumoniae</c:v>
                </c:pt>
                <c:pt idx="4">
                  <c:v>Klebsiella species </c:v>
                </c:pt>
                <c:pt idx="5">
                  <c:v>Proteus</c:v>
                </c:pt>
                <c:pt idx="6">
                  <c:v>Pseudomonas aeruginosa </c:v>
                </c:pt>
                <c:pt idx="7">
                  <c:v>Pseudomonas species </c:v>
                </c:pt>
                <c:pt idx="8">
                  <c:v>Serratia </c:v>
                </c:pt>
                <c:pt idx="9">
                  <c:v>Coliform bacteria </c:v>
                </c:pt>
                <c:pt idx="10">
                  <c:v>Staphylococcus aureus </c:v>
                </c:pt>
                <c:pt idx="11">
                  <c:v>Meticillin resistant Staphylococcus aureus </c:v>
                </c:pt>
                <c:pt idx="12">
                  <c:v>Staphylococcus epidermidis </c:v>
                </c:pt>
                <c:pt idx="13">
                  <c:v>Streptococcus</c:v>
                </c:pt>
                <c:pt idx="14">
                  <c:v>Enterococci</c:v>
                </c:pt>
              </c:strCache>
            </c:strRef>
          </c:cat>
          <c:val>
            <c:numRef>
              <c:f>work4!$H$7:$H$22</c:f>
              <c:numCache>
                <c:formatCode>General</c:formatCode>
                <c:ptCount val="15"/>
                <c:pt idx="0">
                  <c:v>483</c:v>
                </c:pt>
                <c:pt idx="1">
                  <c:v>33</c:v>
                </c:pt>
                <c:pt idx="2">
                  <c:v>80</c:v>
                </c:pt>
                <c:pt idx="3">
                  <c:v>84</c:v>
                </c:pt>
                <c:pt idx="4">
                  <c:v>139</c:v>
                </c:pt>
                <c:pt idx="5">
                  <c:v>28</c:v>
                </c:pt>
                <c:pt idx="6">
                  <c:v>473</c:v>
                </c:pt>
                <c:pt idx="7">
                  <c:v>10</c:v>
                </c:pt>
                <c:pt idx="8">
                  <c:v>16</c:v>
                </c:pt>
                <c:pt idx="9">
                  <c:v>25</c:v>
                </c:pt>
                <c:pt idx="10">
                  <c:v>170</c:v>
                </c:pt>
                <c:pt idx="11">
                  <c:v>136</c:v>
                </c:pt>
                <c:pt idx="12">
                  <c:v>176</c:v>
                </c:pt>
                <c:pt idx="13">
                  <c:v>54</c:v>
                </c:pt>
                <c:pt idx="14">
                  <c:v>58</c:v>
                </c:pt>
              </c:numCache>
            </c:numRef>
          </c:val>
        </c:ser>
        <c:ser>
          <c:idx val="2"/>
          <c:order val="1"/>
          <c:tx>
            <c:strRef>
              <c:f>work4!$G$6</c:f>
              <c:strCache>
                <c:ptCount val="1"/>
                <c:pt idx="0">
                  <c:v>2009-2011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work4!$D$7:$D$22</c:f>
              <c:strCache>
                <c:ptCount val="15"/>
                <c:pt idx="0">
                  <c:v>Acinetobacter</c:v>
                </c:pt>
                <c:pt idx="1">
                  <c:v>Enterobacter </c:v>
                </c:pt>
                <c:pt idx="2">
                  <c:v>Escherichia coli </c:v>
                </c:pt>
                <c:pt idx="3">
                  <c:v>Klebsiella pneumoniae</c:v>
                </c:pt>
                <c:pt idx="4">
                  <c:v>Klebsiella species </c:v>
                </c:pt>
                <c:pt idx="5">
                  <c:v>Proteus</c:v>
                </c:pt>
                <c:pt idx="6">
                  <c:v>Pseudomonas aeruginosa </c:v>
                </c:pt>
                <c:pt idx="7">
                  <c:v>Pseudomonas species </c:v>
                </c:pt>
                <c:pt idx="8">
                  <c:v>Serratia </c:v>
                </c:pt>
                <c:pt idx="9">
                  <c:v>Coliform bacteria </c:v>
                </c:pt>
                <c:pt idx="10">
                  <c:v>Staphylococcus aureus </c:v>
                </c:pt>
                <c:pt idx="11">
                  <c:v>Meticillin resistant Staphylococcus aureus </c:v>
                </c:pt>
                <c:pt idx="12">
                  <c:v>Staphylococcus epidermidis </c:v>
                </c:pt>
                <c:pt idx="13">
                  <c:v>Streptococcus</c:v>
                </c:pt>
                <c:pt idx="14">
                  <c:v>Enterococci</c:v>
                </c:pt>
              </c:strCache>
            </c:strRef>
          </c:cat>
          <c:val>
            <c:numRef>
              <c:f>work4!$G$7:$G$22</c:f>
              <c:numCache>
                <c:formatCode>General</c:formatCode>
                <c:ptCount val="15"/>
                <c:pt idx="0">
                  <c:v>123</c:v>
                </c:pt>
                <c:pt idx="1">
                  <c:v>50</c:v>
                </c:pt>
                <c:pt idx="2">
                  <c:v>94</c:v>
                </c:pt>
                <c:pt idx="3">
                  <c:v>69</c:v>
                </c:pt>
                <c:pt idx="4">
                  <c:v>177</c:v>
                </c:pt>
                <c:pt idx="5">
                  <c:v>34</c:v>
                </c:pt>
                <c:pt idx="6">
                  <c:v>444</c:v>
                </c:pt>
                <c:pt idx="7">
                  <c:v>28</c:v>
                </c:pt>
                <c:pt idx="8">
                  <c:v>9</c:v>
                </c:pt>
                <c:pt idx="9">
                  <c:v>7</c:v>
                </c:pt>
                <c:pt idx="10">
                  <c:v>303</c:v>
                </c:pt>
                <c:pt idx="11">
                  <c:v>111</c:v>
                </c:pt>
                <c:pt idx="12">
                  <c:v>101</c:v>
                </c:pt>
                <c:pt idx="13">
                  <c:v>27</c:v>
                </c:pt>
                <c:pt idx="14">
                  <c:v>61</c:v>
                </c:pt>
              </c:numCache>
            </c:numRef>
          </c:val>
        </c:ser>
        <c:ser>
          <c:idx val="1"/>
          <c:order val="2"/>
          <c:tx>
            <c:strRef>
              <c:f>work4!$F$6</c:f>
              <c:strCache>
                <c:ptCount val="1"/>
                <c:pt idx="0">
                  <c:v>2006-2008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work4!$D$7:$D$22</c:f>
              <c:strCache>
                <c:ptCount val="15"/>
                <c:pt idx="0">
                  <c:v>Acinetobacter</c:v>
                </c:pt>
                <c:pt idx="1">
                  <c:v>Enterobacter </c:v>
                </c:pt>
                <c:pt idx="2">
                  <c:v>Escherichia coli </c:v>
                </c:pt>
                <c:pt idx="3">
                  <c:v>Klebsiella pneumoniae</c:v>
                </c:pt>
                <c:pt idx="4">
                  <c:v>Klebsiella species </c:v>
                </c:pt>
                <c:pt idx="5">
                  <c:v>Proteus</c:v>
                </c:pt>
                <c:pt idx="6">
                  <c:v>Pseudomonas aeruginosa </c:v>
                </c:pt>
                <c:pt idx="7">
                  <c:v>Pseudomonas species </c:v>
                </c:pt>
                <c:pt idx="8">
                  <c:v>Serratia </c:v>
                </c:pt>
                <c:pt idx="9">
                  <c:v>Coliform bacteria </c:v>
                </c:pt>
                <c:pt idx="10">
                  <c:v>Staphylococcus aureus </c:v>
                </c:pt>
                <c:pt idx="11">
                  <c:v>Meticillin resistant Staphylococcus aureus </c:v>
                </c:pt>
                <c:pt idx="12">
                  <c:v>Staphylococcus epidermidis </c:v>
                </c:pt>
                <c:pt idx="13">
                  <c:v>Streptococcus</c:v>
                </c:pt>
                <c:pt idx="14">
                  <c:v>Enterococci</c:v>
                </c:pt>
              </c:strCache>
            </c:strRef>
          </c:cat>
          <c:val>
            <c:numRef>
              <c:f>work4!$F$7:$F$22</c:f>
              <c:numCache>
                <c:formatCode>General</c:formatCode>
                <c:ptCount val="15"/>
                <c:pt idx="0">
                  <c:v>245</c:v>
                </c:pt>
                <c:pt idx="1">
                  <c:v>1</c:v>
                </c:pt>
                <c:pt idx="2">
                  <c:v>45</c:v>
                </c:pt>
                <c:pt idx="3">
                  <c:v>14</c:v>
                </c:pt>
                <c:pt idx="4">
                  <c:v>106</c:v>
                </c:pt>
                <c:pt idx="5">
                  <c:v>6</c:v>
                </c:pt>
                <c:pt idx="6">
                  <c:v>334</c:v>
                </c:pt>
                <c:pt idx="7">
                  <c:v>93</c:v>
                </c:pt>
                <c:pt idx="8">
                  <c:v>2</c:v>
                </c:pt>
                <c:pt idx="9">
                  <c:v>26</c:v>
                </c:pt>
                <c:pt idx="10">
                  <c:v>341</c:v>
                </c:pt>
                <c:pt idx="11">
                  <c:v>106</c:v>
                </c:pt>
                <c:pt idx="12">
                  <c:v>61</c:v>
                </c:pt>
                <c:pt idx="13">
                  <c:v>51</c:v>
                </c:pt>
                <c:pt idx="14">
                  <c:v>77</c:v>
                </c:pt>
              </c:numCache>
            </c:numRef>
          </c:val>
        </c:ser>
        <c:ser>
          <c:idx val="0"/>
          <c:order val="3"/>
          <c:tx>
            <c:strRef>
              <c:f>work4!$E$6</c:f>
              <c:strCache>
                <c:ptCount val="1"/>
                <c:pt idx="0">
                  <c:v>2003-2005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work4!$D$7:$D$22</c:f>
              <c:strCache>
                <c:ptCount val="15"/>
                <c:pt idx="0">
                  <c:v>Acinetobacter</c:v>
                </c:pt>
                <c:pt idx="1">
                  <c:v>Enterobacter </c:v>
                </c:pt>
                <c:pt idx="2">
                  <c:v>Escherichia coli </c:v>
                </c:pt>
                <c:pt idx="3">
                  <c:v>Klebsiella pneumoniae</c:v>
                </c:pt>
                <c:pt idx="4">
                  <c:v>Klebsiella species </c:v>
                </c:pt>
                <c:pt idx="5">
                  <c:v>Proteus</c:v>
                </c:pt>
                <c:pt idx="6">
                  <c:v>Pseudomonas aeruginosa </c:v>
                </c:pt>
                <c:pt idx="7">
                  <c:v>Pseudomonas species </c:v>
                </c:pt>
                <c:pt idx="8">
                  <c:v>Serratia </c:v>
                </c:pt>
                <c:pt idx="9">
                  <c:v>Coliform bacteria </c:v>
                </c:pt>
                <c:pt idx="10">
                  <c:v>Staphylococcus aureus </c:v>
                </c:pt>
                <c:pt idx="11">
                  <c:v>Meticillin resistant Staphylococcus aureus </c:v>
                </c:pt>
                <c:pt idx="12">
                  <c:v>Staphylococcus epidermidis </c:v>
                </c:pt>
                <c:pt idx="13">
                  <c:v>Streptococcus</c:v>
                </c:pt>
                <c:pt idx="14">
                  <c:v>Enterococci</c:v>
                </c:pt>
              </c:strCache>
            </c:strRef>
          </c:cat>
          <c:val>
            <c:numRef>
              <c:f>work4!$E$7:$E$22</c:f>
              <c:numCache>
                <c:formatCode>General</c:formatCode>
                <c:ptCount val="15"/>
                <c:pt idx="0">
                  <c:v>31</c:v>
                </c:pt>
                <c:pt idx="1">
                  <c:v>4</c:v>
                </c:pt>
                <c:pt idx="2">
                  <c:v>84</c:v>
                </c:pt>
                <c:pt idx="3">
                  <c:v>0</c:v>
                </c:pt>
                <c:pt idx="4">
                  <c:v>115</c:v>
                </c:pt>
                <c:pt idx="5">
                  <c:v>1</c:v>
                </c:pt>
                <c:pt idx="6">
                  <c:v>356</c:v>
                </c:pt>
                <c:pt idx="7">
                  <c:v>232</c:v>
                </c:pt>
                <c:pt idx="8">
                  <c:v>0</c:v>
                </c:pt>
                <c:pt idx="9">
                  <c:v>12</c:v>
                </c:pt>
                <c:pt idx="10">
                  <c:v>279</c:v>
                </c:pt>
                <c:pt idx="11">
                  <c:v>660</c:v>
                </c:pt>
                <c:pt idx="12">
                  <c:v>71</c:v>
                </c:pt>
                <c:pt idx="13">
                  <c:v>11</c:v>
                </c:pt>
                <c:pt idx="14">
                  <c:v>86</c:v>
                </c:pt>
              </c:numCache>
            </c:numRef>
          </c:val>
        </c:ser>
        <c:gapWidth val="219"/>
        <c:axId val="148567936"/>
        <c:axId val="148834560"/>
      </c:barChart>
      <c:catAx>
        <c:axId val="14856793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A"/>
          </a:p>
        </c:txPr>
        <c:crossAx val="148834560"/>
        <c:crosses val="autoZero"/>
        <c:auto val="1"/>
        <c:lblAlgn val="ctr"/>
        <c:lblOffset val="100"/>
      </c:catAx>
      <c:valAx>
        <c:axId val="14883456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SA"/>
          </a:p>
        </c:txPr>
        <c:crossAx val="1485679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ar-SA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ar-SA"/>
    </a:p>
  </c:txPr>
  <c:externalData r:id="rId2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user9</cp:lastModifiedBy>
  <cp:revision>9</cp:revision>
  <dcterms:created xsi:type="dcterms:W3CDTF">2017-03-10T06:47:00Z</dcterms:created>
  <dcterms:modified xsi:type="dcterms:W3CDTF">2017-03-10T07:09:00Z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