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43E78" w:rsidP="0054280E">
      <w:pPr>
        <w:pStyle w:val="Heading1"/>
        <w:spacing w:before="170"/>
        <w:ind w:left="0"/>
      </w:pPr>
      <w:r w:rsidRPr="00F43E78">
        <w:rPr>
          <w:color w:val="337AB7"/>
        </w:rPr>
        <w:t xml:space="preserve">Role of the Pharmacist in Decreasing Discharge Medication Discrepancies: A Prospective </w:t>
      </w:r>
      <w:r w:rsidR="0054280E">
        <w:rPr>
          <w:color w:val="337AB7"/>
        </w:rPr>
        <w:t>Observational S</w:t>
      </w:r>
      <w:r w:rsidR="0054280E" w:rsidRPr="0054280E">
        <w:rPr>
          <w:color w:val="337AB7"/>
        </w:rPr>
        <w:t>tudy</w:t>
      </w:r>
    </w:p>
    <w:p w:rsidR="00F43E78" w:rsidRPr="00F43E78" w:rsidRDefault="00F43E78" w:rsidP="00F43E78">
      <w:pPr>
        <w:pStyle w:val="BodyText"/>
        <w:spacing w:before="73" w:line="198" w:lineRule="exact"/>
        <w:ind w:left="100" w:right="4878"/>
        <w:rPr>
          <w:rFonts w:ascii="Arial"/>
        </w:rPr>
      </w:pPr>
      <w:r w:rsidRPr="00F43E78">
        <w:rPr>
          <w:rFonts w:ascii="Arial"/>
        </w:rPr>
        <w:t>Taghrid Abu Hassan</w:t>
      </w:r>
      <w:r>
        <w:rPr>
          <w:rFonts w:ascii="Arial"/>
        </w:rPr>
        <w:t xml:space="preserve">, </w:t>
      </w:r>
      <w:proofErr w:type="spellStart"/>
      <w:r>
        <w:rPr>
          <w:rFonts w:ascii="Arial"/>
        </w:rPr>
        <w:t>RPh</w:t>
      </w:r>
      <w:proofErr w:type="spellEnd"/>
      <w:r>
        <w:rPr>
          <w:rFonts w:ascii="Arial"/>
        </w:rPr>
        <w:t>, BSc Pharm, MSc Pharm, NCCCR, Qatar</w:t>
      </w:r>
    </w:p>
    <w:p w:rsidR="00F43E78" w:rsidRPr="00F43E78" w:rsidRDefault="00F43E78" w:rsidP="00F43E78">
      <w:pPr>
        <w:pStyle w:val="BodyText"/>
        <w:spacing w:before="73" w:line="198" w:lineRule="exact"/>
        <w:ind w:left="100" w:right="4878"/>
        <w:rPr>
          <w:rFonts w:ascii="Arial"/>
        </w:rPr>
      </w:pPr>
      <w:r w:rsidRPr="00F43E78">
        <w:rPr>
          <w:rFonts w:ascii="Arial"/>
        </w:rPr>
        <w:t xml:space="preserve">Dr. </w:t>
      </w:r>
      <w:proofErr w:type="spellStart"/>
      <w:r w:rsidRPr="00F43E78">
        <w:rPr>
          <w:rFonts w:ascii="Arial"/>
        </w:rPr>
        <w:t>Sumaya</w:t>
      </w:r>
      <w:proofErr w:type="spellEnd"/>
      <w:r w:rsidRPr="00F43E78">
        <w:rPr>
          <w:rFonts w:ascii="Arial"/>
        </w:rPr>
        <w:t xml:space="preserve"> Al </w:t>
      </w:r>
      <w:proofErr w:type="spellStart"/>
      <w:r w:rsidRPr="00F43E78">
        <w:rPr>
          <w:rFonts w:ascii="Arial"/>
        </w:rPr>
        <w:t>Yafei</w:t>
      </w:r>
      <w:proofErr w:type="spellEnd"/>
      <w:r>
        <w:rPr>
          <w:rFonts w:ascii="Arial"/>
        </w:rPr>
        <w:t>,</w:t>
      </w:r>
      <w:r w:rsidRPr="00F43E78">
        <w:rPr>
          <w:rFonts w:ascii="Arial"/>
        </w:rPr>
        <w:t xml:space="preserve"> </w:t>
      </w:r>
      <w:proofErr w:type="spellStart"/>
      <w:r>
        <w:rPr>
          <w:rFonts w:ascii="Arial"/>
        </w:rPr>
        <w:t>RPh</w:t>
      </w:r>
      <w:proofErr w:type="spellEnd"/>
      <w:r>
        <w:rPr>
          <w:rFonts w:ascii="Arial"/>
        </w:rPr>
        <w:t xml:space="preserve">, BSc Pharm, </w:t>
      </w:r>
      <w:proofErr w:type="spellStart"/>
      <w:r>
        <w:rPr>
          <w:rFonts w:ascii="Arial"/>
        </w:rPr>
        <w:t>PharmD</w:t>
      </w:r>
      <w:proofErr w:type="spellEnd"/>
      <w:r>
        <w:rPr>
          <w:rFonts w:ascii="Arial"/>
        </w:rPr>
        <w:t>, NCCCR, Qatar</w:t>
      </w:r>
    </w:p>
    <w:p w:rsidR="00F43E78" w:rsidRPr="00F43E78" w:rsidRDefault="00F43E78" w:rsidP="00F43E78">
      <w:pPr>
        <w:pStyle w:val="BodyText"/>
        <w:spacing w:before="73" w:line="198" w:lineRule="exact"/>
        <w:ind w:left="100" w:right="4878"/>
        <w:rPr>
          <w:rFonts w:ascii="Arial"/>
        </w:rPr>
      </w:pPr>
      <w:r w:rsidRPr="00F43E78">
        <w:rPr>
          <w:rFonts w:ascii="Arial"/>
        </w:rPr>
        <w:t xml:space="preserve">Radwa M. Hussein, </w:t>
      </w:r>
      <w:proofErr w:type="spellStart"/>
      <w:r>
        <w:rPr>
          <w:rFonts w:ascii="Arial"/>
        </w:rPr>
        <w:t>RPh</w:t>
      </w:r>
      <w:proofErr w:type="spellEnd"/>
      <w:r>
        <w:rPr>
          <w:rFonts w:ascii="Arial"/>
        </w:rPr>
        <w:t>, BSc Pharm, NCCCR, Qatar</w:t>
      </w:r>
    </w:p>
    <w:p w:rsidR="00F43E78" w:rsidRPr="00F43E78" w:rsidRDefault="00F43E78" w:rsidP="00F43E78">
      <w:pPr>
        <w:pStyle w:val="BodyText"/>
        <w:tabs>
          <w:tab w:val="left" w:pos="5954"/>
        </w:tabs>
        <w:spacing w:before="73" w:line="198" w:lineRule="exact"/>
        <w:ind w:left="100" w:right="4878"/>
        <w:rPr>
          <w:rFonts w:ascii="Arial"/>
        </w:rPr>
      </w:pPr>
      <w:r w:rsidRPr="00F43E78">
        <w:rPr>
          <w:rFonts w:ascii="Arial"/>
        </w:rPr>
        <w:t xml:space="preserve">Sahar Nasser, </w:t>
      </w:r>
      <w:proofErr w:type="spellStart"/>
      <w:r>
        <w:rPr>
          <w:rFonts w:ascii="Arial"/>
        </w:rPr>
        <w:t>RPh</w:t>
      </w:r>
      <w:proofErr w:type="spellEnd"/>
      <w:r>
        <w:rPr>
          <w:rFonts w:ascii="Arial"/>
        </w:rPr>
        <w:t>, BSc Pharm, NCCCR, Qatar</w:t>
      </w:r>
    </w:p>
    <w:p w:rsidR="00F43E78" w:rsidRPr="00F43E78" w:rsidRDefault="00F43E78" w:rsidP="00F43E78">
      <w:pPr>
        <w:pStyle w:val="BodyText"/>
        <w:spacing w:before="73" w:line="198" w:lineRule="exact"/>
        <w:ind w:left="100" w:right="4878"/>
        <w:rPr>
          <w:rFonts w:ascii="Arial"/>
        </w:rPr>
      </w:pPr>
      <w:r>
        <w:rPr>
          <w:rFonts w:ascii="Arial"/>
        </w:rPr>
        <w:t xml:space="preserve">Ahmed </w:t>
      </w:r>
      <w:proofErr w:type="spellStart"/>
      <w:r>
        <w:rPr>
          <w:rFonts w:ascii="Arial"/>
        </w:rPr>
        <w:t>Basha</w:t>
      </w:r>
      <w:proofErr w:type="spellEnd"/>
      <w:r w:rsidRPr="00F43E78">
        <w:rPr>
          <w:rFonts w:ascii="Arial"/>
        </w:rPr>
        <w:t xml:space="preserve">, </w:t>
      </w:r>
      <w:proofErr w:type="spellStart"/>
      <w:r>
        <w:rPr>
          <w:rFonts w:ascii="Arial"/>
        </w:rPr>
        <w:t>RPh</w:t>
      </w:r>
      <w:proofErr w:type="spellEnd"/>
      <w:r>
        <w:rPr>
          <w:rFonts w:ascii="Arial"/>
        </w:rPr>
        <w:t>, BSc Pharm, NCCCR, Qatar</w:t>
      </w:r>
    </w:p>
    <w:p w:rsidR="00F43E78" w:rsidRPr="00F43E78" w:rsidRDefault="00F43E78" w:rsidP="00F43E78">
      <w:pPr>
        <w:pStyle w:val="BodyText"/>
        <w:spacing w:before="73" w:line="198" w:lineRule="exact"/>
        <w:ind w:left="100" w:right="4878"/>
        <w:rPr>
          <w:rFonts w:ascii="Arial"/>
        </w:rPr>
      </w:pPr>
      <w:proofErr w:type="spellStart"/>
      <w:r w:rsidRPr="00F43E78">
        <w:rPr>
          <w:rFonts w:ascii="Arial"/>
        </w:rPr>
        <w:t>Hafedh</w:t>
      </w:r>
      <w:proofErr w:type="spellEnd"/>
      <w:r w:rsidRPr="00F43E78">
        <w:rPr>
          <w:rFonts w:ascii="Arial"/>
        </w:rPr>
        <w:t xml:space="preserve"> </w:t>
      </w:r>
      <w:proofErr w:type="spellStart"/>
      <w:r w:rsidRPr="00F43E78">
        <w:rPr>
          <w:rFonts w:ascii="Arial"/>
        </w:rPr>
        <w:t>Ghazouani</w:t>
      </w:r>
      <w:proofErr w:type="spellEnd"/>
    </w:p>
    <w:p w:rsidR="005973B9" w:rsidRDefault="00F43E78" w:rsidP="00F43E78">
      <w:pPr>
        <w:pStyle w:val="BodyText"/>
        <w:spacing w:before="73" w:line="198" w:lineRule="exact"/>
        <w:ind w:left="100" w:right="4878"/>
        <w:rPr>
          <w:rFonts w:ascii="Arial"/>
        </w:rPr>
      </w:pPr>
      <w:r>
        <w:rPr>
          <w:rFonts w:ascii="Arial"/>
        </w:rPr>
        <w:t xml:space="preserve">Dr. </w:t>
      </w:r>
      <w:r w:rsidRPr="00F43E78">
        <w:rPr>
          <w:rFonts w:ascii="Arial"/>
        </w:rPr>
        <w:t xml:space="preserve">Shereen </w:t>
      </w:r>
      <w:proofErr w:type="spellStart"/>
      <w:r w:rsidRPr="00F43E78">
        <w:rPr>
          <w:rFonts w:ascii="Arial"/>
        </w:rPr>
        <w:t>Elazzazy</w:t>
      </w:r>
      <w:proofErr w:type="spellEnd"/>
      <w:r>
        <w:rPr>
          <w:rFonts w:ascii="Arial"/>
        </w:rPr>
        <w:t>,</w:t>
      </w:r>
      <w:r w:rsidRPr="00F43E78">
        <w:rPr>
          <w:rFonts w:ascii="Arial"/>
        </w:rPr>
        <w:t xml:space="preserve"> </w:t>
      </w:r>
      <w:proofErr w:type="spellStart"/>
      <w:r>
        <w:rPr>
          <w:rFonts w:ascii="Arial"/>
        </w:rPr>
        <w:t>RPh</w:t>
      </w:r>
      <w:proofErr w:type="spellEnd"/>
      <w:r>
        <w:rPr>
          <w:rFonts w:ascii="Arial"/>
        </w:rPr>
        <w:t xml:space="preserve">, BSc Pharm, </w:t>
      </w:r>
      <w:proofErr w:type="spellStart"/>
      <w:r>
        <w:rPr>
          <w:rFonts w:ascii="Arial"/>
        </w:rPr>
        <w:t>PharmD</w:t>
      </w:r>
      <w:proofErr w:type="spellEnd"/>
      <w:r>
        <w:rPr>
          <w:rFonts w:ascii="Arial"/>
        </w:rPr>
        <w:t>, NCCCR, Qatar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934BEE">
      <w:pPr>
        <w:pStyle w:val="Heading3"/>
        <w:spacing w:before="147"/>
        <w:jc w:val="both"/>
      </w:pPr>
      <w:r>
        <w:rPr>
          <w:color w:val="BF5A14"/>
        </w:rPr>
        <w:lastRenderedPageBreak/>
        <w:t>Abstract</w:t>
      </w:r>
      <w:r w:rsidR="00404E5B">
        <w:rPr>
          <w:color w:val="BF5A14"/>
        </w:rPr>
        <w:t xml:space="preserve"> </w:t>
      </w:r>
    </w:p>
    <w:p w:rsidR="001B5137" w:rsidRDefault="00DE16F2" w:rsidP="001E1077">
      <w:pPr>
        <w:pStyle w:val="BodyText"/>
        <w:spacing w:before="90" w:line="280" w:lineRule="auto"/>
        <w:ind w:left="100"/>
        <w:jc w:val="both"/>
      </w:pPr>
      <w:r>
        <w:t>Medication R</w:t>
      </w:r>
      <w:r w:rsidR="001B5137">
        <w:t xml:space="preserve">econciliation </w:t>
      </w:r>
      <w:r>
        <w:t>(</w:t>
      </w:r>
      <w:proofErr w:type="spellStart"/>
      <w:r>
        <w:t>Med.Rec</w:t>
      </w:r>
      <w:proofErr w:type="spellEnd"/>
      <w:r>
        <w:t xml:space="preserve">) </w:t>
      </w:r>
      <w:r w:rsidR="000B5316">
        <w:t>is</w:t>
      </w:r>
      <w:r w:rsidR="001B5137">
        <w:t xml:space="preserve"> a major intervention which </w:t>
      </w:r>
      <w:r w:rsidR="000B5316">
        <w:t xml:space="preserve">reduces </w:t>
      </w:r>
      <w:r w:rsidR="001B5137">
        <w:t>medication discrepancies and subsequent patient harm at diffe</w:t>
      </w:r>
      <w:r w:rsidR="000B5316">
        <w:t>rent patients’ care transitions</w:t>
      </w:r>
      <w:r w:rsidR="001B5137">
        <w:t xml:space="preserve">. Data on the incidence of the unintended medications discrepancies ranges from 40–50% upon admission to acute care hospitals </w:t>
      </w:r>
      <w:r w:rsidR="000B5316">
        <w:t>and 40% at hospitals discharges</w:t>
      </w:r>
      <w:r>
        <w:t xml:space="preserve">. Pharmacists’ role in </w:t>
      </w:r>
      <w:proofErr w:type="spellStart"/>
      <w:r>
        <w:t>Med.Rec</w:t>
      </w:r>
      <w:proofErr w:type="spellEnd"/>
      <w:r>
        <w:t xml:space="preserve"> </w:t>
      </w:r>
      <w:r w:rsidR="001B5137">
        <w:t xml:space="preserve">is highly recommended due to their distinct knowledge, skills, and abilities to establish and maintain effective </w:t>
      </w:r>
      <w:proofErr w:type="spellStart"/>
      <w:r>
        <w:t>Med.Rec</w:t>
      </w:r>
      <w:proofErr w:type="spellEnd"/>
      <w:r>
        <w:t xml:space="preserve"> </w:t>
      </w:r>
      <w:r w:rsidR="000B5316">
        <w:t>process</w:t>
      </w:r>
      <w:r w:rsidR="001B5137">
        <w:t xml:space="preserve">. Pharmacy </w:t>
      </w:r>
      <w:proofErr w:type="spellStart"/>
      <w:r>
        <w:t>Med.Rec</w:t>
      </w:r>
      <w:proofErr w:type="spellEnd"/>
      <w:r w:rsidR="001B5137">
        <w:t xml:space="preserve"> </w:t>
      </w:r>
      <w:r w:rsidR="0054280E">
        <w:t>at</w:t>
      </w:r>
      <w:r w:rsidR="001B5137">
        <w:t xml:space="preserve"> admission or discharge is a crucial step for an error free environment. Outpatient pharmacist play a lead role in detecting medication related </w:t>
      </w:r>
      <w:r w:rsidR="000B5316">
        <w:t>problems;</w:t>
      </w:r>
      <w:r w:rsidR="001B5137">
        <w:t xml:space="preserve"> this urge</w:t>
      </w:r>
      <w:r w:rsidR="000B5316">
        <w:t>s</w:t>
      </w:r>
      <w:r w:rsidR="001B5137">
        <w:t xml:space="preserve"> the need to translate their qualitative values into quantitative measures.</w:t>
      </w:r>
    </w:p>
    <w:p w:rsidR="001B5137" w:rsidRDefault="001B5137" w:rsidP="001B5137">
      <w:pPr>
        <w:pStyle w:val="BodyText"/>
        <w:spacing w:before="90" w:line="280" w:lineRule="auto"/>
        <w:ind w:left="100"/>
        <w:jc w:val="both"/>
      </w:pPr>
      <w:r>
        <w:t xml:space="preserve">Primary objective: to investigate the impact of outpatient </w:t>
      </w:r>
      <w:r w:rsidR="009008CE">
        <w:t>pharmacists’</w:t>
      </w:r>
      <w:r>
        <w:t xml:space="preserve"> interventions during discharge reconciliation, in reducing medication errors and discrepancies. Secondary objective: to detect the most common medication related problems.</w:t>
      </w:r>
    </w:p>
    <w:p w:rsidR="001B5137" w:rsidRDefault="001B5137" w:rsidP="006102DB">
      <w:pPr>
        <w:pStyle w:val="BodyText"/>
        <w:spacing w:before="90" w:line="280" w:lineRule="auto"/>
        <w:ind w:left="100"/>
        <w:jc w:val="both"/>
      </w:pPr>
      <w:r>
        <w:t xml:space="preserve">Methods: A prospective observational study, conducted at a 62-bed tertiary care cancer center (National Centre for Cancer Care &amp; Research) in Qatar. All discharged patients were included in the study over duration of 10 months (from 1st April 2014 to 31st January 2015). Patients who were discharged from the chemotherapy infusion unit were excluded. A standardized intervention form was generated to document interventions. </w:t>
      </w:r>
      <w:r w:rsidR="000B5316">
        <w:t>C</w:t>
      </w:r>
      <w:r>
        <w:t xml:space="preserve">ollected data </w:t>
      </w:r>
      <w:r w:rsidR="000B5316">
        <w:t>were</w:t>
      </w:r>
      <w:r>
        <w:t xml:space="preserve"> ca</w:t>
      </w:r>
      <w:r w:rsidR="000B5316">
        <w:t>tegorized into</w:t>
      </w:r>
      <w:r>
        <w:t xml:space="preserve"> medication error </w:t>
      </w:r>
      <w:r w:rsidR="000B5316">
        <w:t>or</w:t>
      </w:r>
      <w:r>
        <w:t xml:space="preserve"> medication discrepancy. A statistical analysis </w:t>
      </w:r>
      <w:r w:rsidR="006102DB">
        <w:t xml:space="preserve">included exploratory analysis and descriptive statistics </w:t>
      </w:r>
      <w:r>
        <w:t>using STATISTICA 11.0 Version.</w:t>
      </w:r>
    </w:p>
    <w:p w:rsidR="001B5137" w:rsidRDefault="001B5137" w:rsidP="006102DB">
      <w:pPr>
        <w:pStyle w:val="BodyText"/>
        <w:spacing w:before="90" w:line="280" w:lineRule="auto"/>
        <w:ind w:left="100"/>
        <w:jc w:val="both"/>
      </w:pPr>
      <w:r>
        <w:t xml:space="preserve">Results: </w:t>
      </w:r>
      <w:r w:rsidR="006102DB">
        <w:t>Total of</w:t>
      </w:r>
      <w:r w:rsidR="000B5316">
        <w:t xml:space="preserve"> </w:t>
      </w:r>
      <w:r>
        <w:t>591 discharge prescriptions included, 278 (47%) required pharmacist intervention</w:t>
      </w:r>
      <w:r w:rsidR="000B5316">
        <w:t>s</w:t>
      </w:r>
      <w:r w:rsidR="00541BFD">
        <w:t>; with 190 medication discrepancies</w:t>
      </w:r>
      <w:r>
        <w:t xml:space="preserve"> and 122 medication errors. The most common </w:t>
      </w:r>
      <w:r w:rsidR="00862ABF">
        <w:t>medicat</w:t>
      </w:r>
      <w:r w:rsidR="00541BFD">
        <w:t>ion</w:t>
      </w:r>
      <w:r>
        <w:t xml:space="preserve"> related problems were incomplete orders </w:t>
      </w:r>
      <w:r w:rsidR="006102DB">
        <w:t>(</w:t>
      </w:r>
      <w:r>
        <w:t>34%</w:t>
      </w:r>
      <w:r w:rsidR="006102DB">
        <w:t>)</w:t>
      </w:r>
      <w:r>
        <w:t xml:space="preserve"> and prescribing restricted medication without privile</w:t>
      </w:r>
      <w:r w:rsidR="006102DB">
        <w:t>ge (29%)</w:t>
      </w:r>
      <w:r>
        <w:t xml:space="preserve">. </w:t>
      </w:r>
    </w:p>
    <w:p w:rsidR="00AE3E37" w:rsidRDefault="001B5137" w:rsidP="00FC6D8A">
      <w:pPr>
        <w:pStyle w:val="BodyText"/>
        <w:spacing w:before="90" w:line="280" w:lineRule="auto"/>
        <w:ind w:left="100"/>
        <w:jc w:val="both"/>
      </w:pPr>
      <w:r>
        <w:t xml:space="preserve">Conclusion: Outpatient pharmacists have a significant role towards detecting and reducing medication errors and discrepancies upon patient discharge. However, despite their effective interventions, most of these medications related problems are preventable. </w:t>
      </w:r>
      <w:r w:rsidR="00FF7598">
        <w:t>A</w:t>
      </w:r>
      <w:r>
        <w:t xml:space="preserve">n improved quality process and awareness can create </w:t>
      </w:r>
      <w:r w:rsidR="00FC6D8A">
        <w:t>an</w:t>
      </w:r>
      <w:r>
        <w:t xml:space="preserve"> efficient </w:t>
      </w:r>
      <w:r w:rsidR="00FC6D8A">
        <w:t xml:space="preserve">medication safety </w:t>
      </w:r>
      <w:r>
        <w:t>environment.</w:t>
      </w:r>
    </w:p>
    <w:p w:rsidR="00AE3E37" w:rsidRDefault="00A9710C">
      <w:pPr>
        <w:pStyle w:val="Heading3"/>
        <w:spacing w:before="74"/>
      </w:pPr>
      <w:r>
        <w:rPr>
          <w:b w:val="0"/>
        </w:rPr>
        <w:br w:type="column"/>
      </w:r>
      <w:r>
        <w:rPr>
          <w:color w:val="BF5A14"/>
        </w:rPr>
        <w:lastRenderedPageBreak/>
        <w:t>Image</w:t>
      </w:r>
    </w:p>
    <w:p w:rsidR="00AE3E37" w:rsidRDefault="00654EAF" w:rsidP="0079623A">
      <w:pPr>
        <w:pStyle w:val="BodyText"/>
        <w:spacing w:before="2"/>
        <w:ind w:left="720"/>
        <w:rPr>
          <w:noProof/>
        </w:rPr>
      </w:pPr>
      <w:r>
        <w:rPr>
          <w:noProof/>
        </w:rPr>
        <w:t xml:space="preserve"> </w:t>
      </w:r>
    </w:p>
    <w:p w:rsidR="0079623A" w:rsidRDefault="0079623A">
      <w:pPr>
        <w:pStyle w:val="BodyText"/>
        <w:spacing w:before="2"/>
        <w:rPr>
          <w:noProof/>
        </w:rPr>
      </w:pPr>
    </w:p>
    <w:p w:rsidR="0079623A" w:rsidRDefault="0079623A" w:rsidP="0079623A">
      <w:pPr>
        <w:pStyle w:val="BodyText"/>
        <w:spacing w:before="2"/>
        <w:ind w:left="720"/>
        <w:rPr>
          <w:rFonts w:ascii="Arial"/>
          <w:b/>
          <w:sz w:val="16"/>
        </w:rPr>
      </w:pPr>
      <w:r>
        <w:rPr>
          <w:noProof/>
        </w:rPr>
        <w:drawing>
          <wp:inline distT="0" distB="0" distL="0" distR="0" wp14:anchorId="38ABC545" wp14:editId="30BBBE16">
            <wp:extent cx="2604211" cy="1506932"/>
            <wp:effectExtent l="0" t="0" r="24765" b="1714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7700D" w:rsidRPr="0057700D" w:rsidRDefault="0057700D" w:rsidP="0057700D">
      <w:pPr>
        <w:pStyle w:val="BodyText"/>
        <w:numPr>
          <w:ilvl w:val="0"/>
          <w:numId w:val="6"/>
        </w:numPr>
        <w:spacing w:line="218" w:lineRule="exact"/>
        <w:rPr>
          <w:rFonts w:ascii="Calibri"/>
        </w:rPr>
      </w:pPr>
      <w:r w:rsidRPr="0057700D">
        <w:rPr>
          <w:rFonts w:ascii="Calibri"/>
        </w:rPr>
        <w:t>American Society of Hospital Pharmacists. ASHP guidelines. American Journal of Health-System Pharmacy 1993; 50:305-</w:t>
      </w:r>
      <w:proofErr w:type="gramStart"/>
      <w:r w:rsidRPr="0057700D">
        <w:rPr>
          <w:rFonts w:ascii="Calibri"/>
        </w:rPr>
        <w:t>14 .</w:t>
      </w:r>
      <w:proofErr w:type="gramEnd"/>
    </w:p>
    <w:p w:rsidR="0057700D" w:rsidRPr="0057700D" w:rsidRDefault="0057700D" w:rsidP="0057700D">
      <w:pPr>
        <w:pStyle w:val="BodyText"/>
        <w:numPr>
          <w:ilvl w:val="0"/>
          <w:numId w:val="6"/>
        </w:numPr>
        <w:spacing w:line="218" w:lineRule="exact"/>
        <w:rPr>
          <w:rFonts w:ascii="Calibri"/>
        </w:rPr>
      </w:pPr>
      <w:proofErr w:type="spellStart"/>
      <w:r w:rsidRPr="0057700D">
        <w:rPr>
          <w:rFonts w:ascii="Calibri"/>
        </w:rPr>
        <w:t>Lehnbom</w:t>
      </w:r>
      <w:proofErr w:type="spellEnd"/>
      <w:r w:rsidRPr="0057700D">
        <w:rPr>
          <w:rFonts w:ascii="Calibri"/>
        </w:rPr>
        <w:t>, Stewart, Wiley, Manias and Westbrook. Do medication reconciliation and review improve health outcomes? A review of the evidence and implications for the impact of the Personally Controlled Electronic Health Record (PCEHR). Australian Institute of Health Innovation, University of New South Wales. 2012</w:t>
      </w:r>
      <w:proofErr w:type="gramStart"/>
      <w:r w:rsidRPr="0057700D">
        <w:rPr>
          <w:rFonts w:ascii="Calibri"/>
        </w:rPr>
        <w:t>;.</w:t>
      </w:r>
      <w:proofErr w:type="gramEnd"/>
    </w:p>
    <w:p w:rsidR="0057700D" w:rsidRPr="0057700D" w:rsidRDefault="0057700D" w:rsidP="0057700D">
      <w:pPr>
        <w:pStyle w:val="BodyText"/>
        <w:numPr>
          <w:ilvl w:val="0"/>
          <w:numId w:val="6"/>
        </w:numPr>
        <w:spacing w:line="218" w:lineRule="exact"/>
        <w:rPr>
          <w:rFonts w:ascii="Calibri"/>
        </w:rPr>
      </w:pPr>
      <w:r w:rsidRPr="0057700D">
        <w:rPr>
          <w:rFonts w:ascii="Calibri"/>
        </w:rPr>
        <w:t xml:space="preserve">Wong JD1, </w:t>
      </w:r>
      <w:proofErr w:type="spellStart"/>
      <w:r w:rsidRPr="0057700D">
        <w:rPr>
          <w:rFonts w:ascii="Calibri"/>
        </w:rPr>
        <w:t>Bajcar</w:t>
      </w:r>
      <w:proofErr w:type="spellEnd"/>
      <w:r w:rsidRPr="0057700D">
        <w:rPr>
          <w:rFonts w:ascii="Calibri"/>
        </w:rPr>
        <w:t xml:space="preserve"> JM, Wong GG, </w:t>
      </w:r>
      <w:proofErr w:type="spellStart"/>
      <w:r w:rsidRPr="0057700D">
        <w:rPr>
          <w:rFonts w:ascii="Calibri"/>
        </w:rPr>
        <w:t>Alibhai</w:t>
      </w:r>
      <w:proofErr w:type="spellEnd"/>
      <w:r w:rsidRPr="0057700D">
        <w:rPr>
          <w:rFonts w:ascii="Calibri"/>
        </w:rPr>
        <w:t xml:space="preserve"> SM, Huh JH, </w:t>
      </w:r>
      <w:proofErr w:type="spellStart"/>
      <w:r w:rsidRPr="0057700D">
        <w:rPr>
          <w:rFonts w:ascii="Calibri"/>
        </w:rPr>
        <w:t>Cesta</w:t>
      </w:r>
      <w:proofErr w:type="spellEnd"/>
      <w:r w:rsidRPr="0057700D">
        <w:rPr>
          <w:rFonts w:ascii="Calibri"/>
        </w:rPr>
        <w:t xml:space="preserve"> A, Pond GR and </w:t>
      </w:r>
      <w:proofErr w:type="spellStart"/>
      <w:r w:rsidRPr="0057700D">
        <w:rPr>
          <w:rFonts w:ascii="Calibri"/>
        </w:rPr>
        <w:t>Fernandes</w:t>
      </w:r>
      <w:proofErr w:type="spellEnd"/>
      <w:r w:rsidRPr="0057700D">
        <w:rPr>
          <w:rFonts w:ascii="Calibri"/>
        </w:rPr>
        <w:t xml:space="preserve"> OA. Medication reconciliation at hospital discharge: evaluating discrepancies. The Annals of Pharmacotherapy 2008Oct; 42(10):1373-9</w:t>
      </w:r>
    </w:p>
    <w:p w:rsidR="0057700D" w:rsidRPr="0057700D" w:rsidRDefault="0057700D" w:rsidP="0057700D">
      <w:pPr>
        <w:pStyle w:val="BodyText"/>
        <w:numPr>
          <w:ilvl w:val="0"/>
          <w:numId w:val="6"/>
        </w:numPr>
        <w:spacing w:line="218" w:lineRule="exact"/>
        <w:rPr>
          <w:rFonts w:ascii="Calibri"/>
        </w:rPr>
      </w:pPr>
      <w:proofErr w:type="spellStart"/>
      <w:r w:rsidRPr="0057700D">
        <w:rPr>
          <w:rFonts w:ascii="Calibri"/>
        </w:rPr>
        <w:t>Nkansah</w:t>
      </w:r>
      <w:proofErr w:type="spellEnd"/>
      <w:r w:rsidRPr="0057700D">
        <w:rPr>
          <w:rFonts w:ascii="Calibri"/>
        </w:rPr>
        <w:t xml:space="preserve"> Nancy, </w:t>
      </w:r>
      <w:proofErr w:type="spellStart"/>
      <w:r w:rsidRPr="0057700D">
        <w:rPr>
          <w:rFonts w:ascii="Calibri"/>
        </w:rPr>
        <w:t>Mostovetsky</w:t>
      </w:r>
      <w:proofErr w:type="spellEnd"/>
      <w:r w:rsidRPr="0057700D">
        <w:rPr>
          <w:rFonts w:ascii="Calibri"/>
        </w:rPr>
        <w:t xml:space="preserve"> Olga, Yu Christine, </w:t>
      </w:r>
      <w:proofErr w:type="spellStart"/>
      <w:r w:rsidRPr="0057700D">
        <w:rPr>
          <w:rFonts w:ascii="Calibri"/>
        </w:rPr>
        <w:t>Chheng</w:t>
      </w:r>
      <w:proofErr w:type="spellEnd"/>
      <w:r w:rsidRPr="0057700D">
        <w:rPr>
          <w:rFonts w:ascii="Calibri"/>
        </w:rPr>
        <w:t xml:space="preserve"> Tami, </w:t>
      </w:r>
      <w:proofErr w:type="spellStart"/>
      <w:r w:rsidRPr="0057700D">
        <w:rPr>
          <w:rFonts w:ascii="Calibri"/>
        </w:rPr>
        <w:t>Beney</w:t>
      </w:r>
      <w:proofErr w:type="spellEnd"/>
      <w:r w:rsidRPr="0057700D">
        <w:rPr>
          <w:rFonts w:ascii="Calibri"/>
        </w:rPr>
        <w:t xml:space="preserve"> Johnny, Bond Christine M, </w:t>
      </w:r>
      <w:proofErr w:type="spellStart"/>
      <w:r w:rsidRPr="0057700D">
        <w:rPr>
          <w:rFonts w:ascii="Calibri"/>
        </w:rPr>
        <w:t>Bero</w:t>
      </w:r>
      <w:proofErr w:type="spellEnd"/>
      <w:r w:rsidRPr="0057700D">
        <w:rPr>
          <w:rFonts w:ascii="Calibri"/>
        </w:rPr>
        <w:t xml:space="preserve"> Lisa. Effect of outpatient pharmacists' non-dispensing roles on patient outcomes and prescribing patterns. Cochrane Database of Systematic Reviews. In: The Cochrane Library 2009; (10).</w:t>
      </w:r>
    </w:p>
    <w:p w:rsidR="00862ABF" w:rsidRPr="00862ABF" w:rsidRDefault="00862ABF" w:rsidP="0057700D">
      <w:pPr>
        <w:pStyle w:val="BodyText"/>
        <w:numPr>
          <w:ilvl w:val="0"/>
          <w:numId w:val="6"/>
        </w:numPr>
        <w:spacing w:line="218" w:lineRule="exact"/>
      </w:pPr>
      <w:proofErr w:type="spellStart"/>
      <w:r w:rsidRPr="0057700D">
        <w:rPr>
          <w:rFonts w:ascii="Calibri"/>
        </w:rPr>
        <w:t>Schnipper</w:t>
      </w:r>
      <w:proofErr w:type="spellEnd"/>
      <w:r w:rsidRPr="0057700D">
        <w:rPr>
          <w:rFonts w:ascii="Calibri"/>
        </w:rPr>
        <w:t xml:space="preserve"> JL, </w:t>
      </w:r>
      <w:proofErr w:type="spellStart"/>
      <w:r w:rsidRPr="0057700D">
        <w:rPr>
          <w:rFonts w:ascii="Calibri"/>
        </w:rPr>
        <w:t>Kirwin</w:t>
      </w:r>
      <w:proofErr w:type="spellEnd"/>
      <w:r w:rsidRPr="0057700D">
        <w:rPr>
          <w:rFonts w:ascii="Calibri"/>
        </w:rPr>
        <w:t xml:space="preserve"> JL, </w:t>
      </w:r>
      <w:proofErr w:type="spellStart"/>
      <w:r w:rsidRPr="0057700D">
        <w:rPr>
          <w:rFonts w:ascii="Calibri"/>
        </w:rPr>
        <w:t>Cotugno</w:t>
      </w:r>
      <w:proofErr w:type="spellEnd"/>
      <w:r w:rsidRPr="0057700D">
        <w:rPr>
          <w:rFonts w:ascii="Calibri"/>
        </w:rPr>
        <w:t xml:space="preserve"> MC, et al. </w:t>
      </w:r>
      <w:r w:rsidRPr="0057700D">
        <w:rPr>
          <w:rFonts w:ascii="Calibri"/>
        </w:rPr>
        <w:t>“</w:t>
      </w:r>
      <w:r w:rsidRPr="0057700D">
        <w:rPr>
          <w:rFonts w:ascii="Calibri"/>
        </w:rPr>
        <w:t>Role of pharmacist counseling in preventing adverse drug events after hospitalization</w:t>
      </w:r>
      <w:r w:rsidRPr="0057700D">
        <w:rPr>
          <w:rFonts w:ascii="Calibri"/>
        </w:rPr>
        <w:t>”</w:t>
      </w:r>
      <w:r w:rsidRPr="0057700D">
        <w:rPr>
          <w:rFonts w:ascii="Calibri"/>
        </w:rPr>
        <w:t>, Arch Intern Med. 2006 Mar 13;166(5):565</w:t>
      </w:r>
      <w:r w:rsidRPr="0057700D">
        <w:rPr>
          <w:rFonts w:ascii="Calibri"/>
        </w:rPr>
        <w:t>–</w:t>
      </w:r>
      <w:r w:rsidRPr="0057700D">
        <w:rPr>
          <w:rFonts w:ascii="Calibri"/>
        </w:rPr>
        <w:t>71.</w:t>
      </w:r>
    </w:p>
    <w:p w:rsidR="00AE3E37" w:rsidRPr="008756E6" w:rsidRDefault="00AE3E37" w:rsidP="008756E6">
      <w:pPr>
        <w:tabs>
          <w:tab w:val="left" w:pos="384"/>
        </w:tabs>
        <w:ind w:right="117"/>
      </w:pPr>
    </w:p>
    <w:p w:rsidR="00AE3E37" w:rsidRDefault="008756E6" w:rsidP="0057700D">
      <w:pPr>
        <w:pStyle w:val="BodyText"/>
        <w:spacing w:line="218" w:lineRule="exact"/>
        <w:ind w:left="383"/>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011BE" w:rsidRDefault="008756E6" w:rsidP="00DF0DF0">
      <w:pPr>
        <w:spacing w:before="92"/>
        <w:ind w:right="4234"/>
        <w:rPr>
          <w:rFonts w:ascii="Arial"/>
          <w:noProof/>
          <w:color w:val="BF5A14"/>
        </w:rPr>
      </w:pPr>
      <w:r>
        <w:rPr>
          <w:noProof/>
        </w:rPr>
        <w:t xml:space="preserve">              </w:t>
      </w:r>
    </w:p>
    <w:p w:rsidR="007011BE" w:rsidRDefault="007011BE" w:rsidP="00DF0DF0">
      <w:pPr>
        <w:spacing w:before="92"/>
        <w:ind w:right="4234"/>
        <w:rPr>
          <w:rFonts w:ascii="Arial"/>
          <w:noProof/>
          <w:color w:val="BF5A14"/>
        </w:rPr>
      </w:pPr>
    </w:p>
    <w:p w:rsidR="00EE22C1" w:rsidRDefault="00EE22C1" w:rsidP="00DF0DF0">
      <w:pPr>
        <w:spacing w:before="92"/>
        <w:ind w:right="4234"/>
        <w:rPr>
          <w:noProof/>
        </w:rPr>
      </w:pPr>
      <w:r>
        <w:rPr>
          <w:noProof/>
        </w:rPr>
        <w:t xml:space="preserve"> </w:t>
      </w:r>
    </w:p>
    <w:p w:rsidR="00AE3E37" w:rsidRPr="00934BEE" w:rsidRDefault="00EE22C1" w:rsidP="00934BEE">
      <w:pPr>
        <w:pStyle w:val="Heading3"/>
        <w:spacing w:before="147"/>
        <w:jc w:val="both"/>
        <w:rPr>
          <w:color w:val="BF5A14"/>
        </w:rPr>
      </w:pPr>
      <w:bookmarkStart w:id="0" w:name="_GoBack"/>
      <w:bookmarkEnd w:id="0"/>
      <w:r w:rsidRPr="00934BEE">
        <w:rPr>
          <w:color w:val="BF5A14"/>
        </w:rPr>
        <w:lastRenderedPageBreak/>
        <w:t>Biography</w:t>
      </w:r>
    </w:p>
    <w:p w:rsidR="006D53B1" w:rsidRDefault="006D53B1" w:rsidP="00DF0DF0">
      <w:pPr>
        <w:spacing w:before="41" w:line="154" w:lineRule="exact"/>
        <w:ind w:left="213" w:right="231"/>
        <w:jc w:val="both"/>
        <w:rPr>
          <w:rFonts w:ascii="Arial"/>
          <w:sz w:val="14"/>
        </w:rPr>
      </w:pPr>
    </w:p>
    <w:p w:rsidR="00C31693" w:rsidRPr="00934BEE" w:rsidRDefault="007011BE" w:rsidP="00C31693">
      <w:pPr>
        <w:spacing w:before="41" w:line="154" w:lineRule="exact"/>
        <w:ind w:left="213" w:right="231"/>
        <w:jc w:val="both"/>
        <w:rPr>
          <w:rFonts w:ascii="Arial"/>
          <w:sz w:val="18"/>
          <w:szCs w:val="18"/>
        </w:rPr>
      </w:pPr>
      <w:r w:rsidRPr="00934BEE">
        <w:rPr>
          <w:sz w:val="18"/>
          <w:szCs w:val="18"/>
        </w:rPr>
        <w:t>Taghrid </w:t>
      </w:r>
      <w:proofErr w:type="spellStart"/>
      <w:r w:rsidRPr="00934BEE">
        <w:rPr>
          <w:sz w:val="18"/>
          <w:szCs w:val="18"/>
        </w:rPr>
        <w:t>Shehteh</w:t>
      </w:r>
      <w:proofErr w:type="spellEnd"/>
      <w:r w:rsidRPr="00934BEE">
        <w:rPr>
          <w:sz w:val="18"/>
          <w:szCs w:val="18"/>
        </w:rPr>
        <w:t xml:space="preserve"> Abu Hassan has completed her Bachelor degree of pharmaceutical Science at Philadelphia University,  </w:t>
      </w:r>
      <w:proofErr w:type="spellStart"/>
      <w:r w:rsidRPr="00934BEE">
        <w:rPr>
          <w:sz w:val="18"/>
          <w:szCs w:val="18"/>
        </w:rPr>
        <w:t>Jerash</w:t>
      </w:r>
      <w:proofErr w:type="spellEnd"/>
      <w:r w:rsidRPr="00934BEE">
        <w:rPr>
          <w:sz w:val="18"/>
          <w:szCs w:val="18"/>
        </w:rPr>
        <w:t xml:space="preserve"> - Jordan in 2003 and completed her Master degree of clinical pharmacy at Queen's University, Belfast UK in 2014. She has experience in hematology/oncology hospital pharmacy, pharmacy management, aseptic pharmaceutical preparation, inpatient, and ambulatory setting. Currently she provides care as the senior pharmacist for unit dose/Inpatient pharmacy unit at National center for cancer care and research Qatar. She is a preceptor for Qatar University students. She has experience in peer-reviewed publications and poster presentations</w:t>
      </w:r>
      <w:r w:rsidR="00C31693" w:rsidRPr="00934BEE">
        <w:rPr>
          <w:rFonts w:ascii="Arial"/>
          <w:sz w:val="18"/>
          <w:szCs w:val="18"/>
        </w:rPr>
        <w:t>.</w:t>
      </w:r>
    </w:p>
    <w:p w:rsidR="006D53B1" w:rsidRDefault="006D53B1" w:rsidP="00C31693">
      <w:pPr>
        <w:spacing w:before="41" w:line="154" w:lineRule="exact"/>
        <w:ind w:left="213" w:right="231"/>
        <w:jc w:val="both"/>
        <w:rPr>
          <w:rFonts w:ascii="Arial"/>
          <w:sz w:val="14"/>
        </w:rPr>
      </w:pPr>
    </w:p>
    <w:p w:rsidR="00AE3E37" w:rsidRDefault="00A9710C" w:rsidP="007011BE">
      <w:pPr>
        <w:spacing w:before="62"/>
        <w:ind w:left="4217" w:right="4235"/>
        <w:jc w:val="center"/>
        <w:rPr>
          <w:rFonts w:ascii="Arial"/>
          <w:sz w:val="14"/>
        </w:rPr>
      </w:pPr>
      <w:r>
        <w:rPr>
          <w:rFonts w:ascii="Arial"/>
          <w:sz w:val="14"/>
        </w:rPr>
        <w:t xml:space="preserve">Email: </w:t>
      </w:r>
      <w:r w:rsidR="007011BE">
        <w:rPr>
          <w:rFonts w:ascii="Arial"/>
          <w:sz w:val="14"/>
        </w:rPr>
        <w:t>t_abuhassan</w:t>
      </w:r>
      <w:r w:rsidR="00DF0DF0">
        <w:rPr>
          <w:rFonts w:ascii="Arial"/>
          <w:sz w:val="14"/>
        </w:rPr>
        <w:t>@yahoo.com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BF8" w:rsidRDefault="00704BF8">
      <w:r>
        <w:separator/>
      </w:r>
    </w:p>
  </w:endnote>
  <w:endnote w:type="continuationSeparator" w:id="0">
    <w:p w:rsidR="00704BF8" w:rsidRDefault="00704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BF8" w:rsidRDefault="00704BF8">
      <w:r>
        <w:separator/>
      </w:r>
    </w:p>
  </w:footnote>
  <w:footnote w:type="continuationSeparator" w:id="0">
    <w:p w:rsidR="00704BF8" w:rsidRDefault="00704B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D5B20"/>
    <w:multiLevelType w:val="hybridMultilevel"/>
    <w:tmpl w:val="2A4E7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8462351"/>
    <w:multiLevelType w:val="hybridMultilevel"/>
    <w:tmpl w:val="645A4D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F21232"/>
    <w:multiLevelType w:val="hybridMultilevel"/>
    <w:tmpl w:val="801C42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5316"/>
    <w:rsid w:val="000E2911"/>
    <w:rsid w:val="001263DF"/>
    <w:rsid w:val="001B5137"/>
    <w:rsid w:val="001E1077"/>
    <w:rsid w:val="00292ED9"/>
    <w:rsid w:val="00404E5B"/>
    <w:rsid w:val="00414F7B"/>
    <w:rsid w:val="004355DC"/>
    <w:rsid w:val="004749B4"/>
    <w:rsid w:val="00494130"/>
    <w:rsid w:val="004A2127"/>
    <w:rsid w:val="004E1C64"/>
    <w:rsid w:val="004F3523"/>
    <w:rsid w:val="00541BFD"/>
    <w:rsid w:val="0054280E"/>
    <w:rsid w:val="0057700D"/>
    <w:rsid w:val="005973B9"/>
    <w:rsid w:val="005B3A56"/>
    <w:rsid w:val="006060CE"/>
    <w:rsid w:val="006102DB"/>
    <w:rsid w:val="0063497F"/>
    <w:rsid w:val="00654EAF"/>
    <w:rsid w:val="006A069C"/>
    <w:rsid w:val="006D53B1"/>
    <w:rsid w:val="006E0CEC"/>
    <w:rsid w:val="007011BE"/>
    <w:rsid w:val="00704BF8"/>
    <w:rsid w:val="0079623A"/>
    <w:rsid w:val="00862ABF"/>
    <w:rsid w:val="00873DF0"/>
    <w:rsid w:val="008756E6"/>
    <w:rsid w:val="009008CE"/>
    <w:rsid w:val="0092149F"/>
    <w:rsid w:val="00934BEE"/>
    <w:rsid w:val="009B2D44"/>
    <w:rsid w:val="00A07E82"/>
    <w:rsid w:val="00A9710C"/>
    <w:rsid w:val="00AE3E37"/>
    <w:rsid w:val="00B21A57"/>
    <w:rsid w:val="00B2258B"/>
    <w:rsid w:val="00BA236A"/>
    <w:rsid w:val="00BF6419"/>
    <w:rsid w:val="00C31693"/>
    <w:rsid w:val="00C33602"/>
    <w:rsid w:val="00CD6F55"/>
    <w:rsid w:val="00CE55EB"/>
    <w:rsid w:val="00D14330"/>
    <w:rsid w:val="00DE16F2"/>
    <w:rsid w:val="00DE3104"/>
    <w:rsid w:val="00DF0DF0"/>
    <w:rsid w:val="00E24EE5"/>
    <w:rsid w:val="00E84F47"/>
    <w:rsid w:val="00EE22C1"/>
    <w:rsid w:val="00F43E78"/>
    <w:rsid w:val="00F72EEA"/>
    <w:rsid w:val="00F74D33"/>
    <w:rsid w:val="00F84CAE"/>
    <w:rsid w:val="00FC6D8A"/>
    <w:rsid w:val="00FF759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elazzazy\Documents\Research\OPD%20education\Book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700"/>
            </a:pPr>
            <a:r>
              <a:rPr lang="en-US" sz="700" b="1" i="0" u="none" strike="noStrike" baseline="0">
                <a:effectLst/>
              </a:rPr>
              <a:t>Number of patients’ medication prescription with interventions and without interventions</a:t>
            </a:r>
            <a:endParaRPr lang="en-US" sz="700"/>
          </a:p>
        </c:rich>
      </c:tx>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dLbls>
            <c:dLbl>
              <c:idx val="0"/>
              <c:layout>
                <c:manualLayout>
                  <c:x val="-0.13524715660542433"/>
                  <c:y val="2.4805701370662001E-2"/>
                </c:manualLayout>
              </c:layout>
              <c:showLegendKey val="0"/>
              <c:showVal val="0"/>
              <c:showCatName val="0"/>
              <c:showSerName val="0"/>
              <c:showPercent val="1"/>
              <c:showBubbleSize val="0"/>
            </c:dLbl>
            <c:dLbl>
              <c:idx val="1"/>
              <c:layout>
                <c:manualLayout>
                  <c:x val="0.1382794181977253"/>
                  <c:y val="-6.3004884806065906E-2"/>
                </c:manualLayout>
              </c:layout>
              <c:showLegendKey val="0"/>
              <c:showVal val="0"/>
              <c:showCatName val="0"/>
              <c:showSerName val="0"/>
              <c:showPercent val="1"/>
              <c:showBubbleSize val="0"/>
            </c:dLbl>
            <c:txPr>
              <a:bodyPr/>
              <a:lstStyle/>
              <a:p>
                <a:pPr>
                  <a:defRPr sz="900" b="1">
                    <a:solidFill>
                      <a:schemeClr val="bg1"/>
                    </a:solidFill>
                  </a:defRPr>
                </a:pPr>
                <a:endParaRPr lang="en-US"/>
              </a:p>
            </c:txPr>
            <c:showLegendKey val="0"/>
            <c:showVal val="0"/>
            <c:showCatName val="0"/>
            <c:showSerName val="0"/>
            <c:showPercent val="1"/>
            <c:showBubbleSize val="0"/>
            <c:showLeaderLines val="1"/>
          </c:dLbls>
          <c:cat>
            <c:strRef>
              <c:f>Sheet1!$L$14:$L$15</c:f>
              <c:strCache>
                <c:ptCount val="2"/>
                <c:pt idx="0">
                  <c:v>Patients' medication prescriptions with Interventions</c:v>
                </c:pt>
                <c:pt idx="1">
                  <c:v>Patients' medication prescriptions without Interventions</c:v>
                </c:pt>
              </c:strCache>
            </c:strRef>
          </c:cat>
          <c:val>
            <c:numRef>
              <c:f>Sheet1!$N$14:$N$15</c:f>
              <c:numCache>
                <c:formatCode>0%</c:formatCode>
                <c:ptCount val="2"/>
                <c:pt idx="0">
                  <c:v>0.47</c:v>
                </c:pt>
                <c:pt idx="1">
                  <c:v>0.53</c:v>
                </c:pt>
              </c:numCache>
            </c:numRef>
          </c:val>
        </c:ser>
        <c:dLbls>
          <c:showLegendKey val="0"/>
          <c:showVal val="0"/>
          <c:showCatName val="0"/>
          <c:showSerName val="0"/>
          <c:showPercent val="1"/>
          <c:showBubbleSize val="0"/>
          <c:showLeaderLines val="1"/>
        </c:dLbls>
      </c:pie3DChart>
    </c:plotArea>
    <c:legend>
      <c:legendPos val="r"/>
      <c:overlay val="0"/>
      <c:txPr>
        <a:bodyPr/>
        <a:lstStyle/>
        <a:p>
          <a:pPr>
            <a:defRPr sz="6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Taghrid Sahteh I Abu Hassan</cp:lastModifiedBy>
  <cp:revision>3</cp:revision>
  <dcterms:created xsi:type="dcterms:W3CDTF">2017-03-02T07:46:00Z</dcterms:created>
  <dcterms:modified xsi:type="dcterms:W3CDTF">2017-03-02T07:49:00Z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