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Minion Pro" w:hAnsi="Minion Pro" w:eastAsia="Minion Pro" w:cs="Minion Pro"/>
          <w:b/>
          <w:bCs/>
          <w:color w:val="337AB7"/>
          <w:sz w:val="36"/>
          <w:szCs w:val="36"/>
        </w:rPr>
      </w:pPr>
      <w:bookmarkStart w:id="0" w:name="_GoBack"/>
      <w:bookmarkEnd w:id="0"/>
      <w:r>
        <w:rPr>
          <w:rFonts w:ascii="Minion Pro" w:hAnsi="Minion Pro" w:eastAsia="Minion Pro" w:cs="Minion Pro"/>
          <w:b/>
          <w:bCs/>
          <w:color w:val="337AB7"/>
          <w:sz w:val="36"/>
          <w:szCs w:val="36"/>
        </w:rPr>
        <w:t>A Novel treatment for a Han patient with high risk of coronary obstruction underwent TAVI procedure using a novel second-generation device</w:t>
      </w:r>
    </w:p>
    <w:p>
      <w:pPr>
        <w:jc w:val="left"/>
        <w:rPr>
          <w:rFonts w:ascii="Minion Pro" w:hAnsi="Minion Pro" w:eastAsia="Minion Pro" w:cs="Minion Pro"/>
          <w:b/>
          <w:bCs/>
          <w:color w:val="337AB7"/>
          <w:sz w:val="36"/>
          <w:szCs w:val="36"/>
        </w:rPr>
      </w:pPr>
    </w:p>
    <w:p>
      <w:pPr>
        <w:spacing w:line="480" w:lineRule="auto"/>
        <w:jc w:val="center"/>
      </w:pPr>
    </w:p>
    <w:p>
      <w:pPr>
        <w:pStyle w:val="2"/>
        <w:spacing w:before="170"/>
        <w:ind w:left="0"/>
        <w:rPr>
          <w:rFonts w:ascii="Arial" w:hAnsi="Arial" w:cs="Arial"/>
          <w:b w:val="0"/>
          <w:bCs w:val="0"/>
          <w:sz w:val="18"/>
          <w:szCs w:val="18"/>
        </w:rPr>
      </w:pPr>
      <w:r>
        <w:rPr>
          <w:rFonts w:ascii="Arial" w:hAnsi="Arial" w:cs="Arial"/>
          <w:b w:val="0"/>
          <w:bCs w:val="0"/>
          <w:sz w:val="18"/>
          <w:szCs w:val="18"/>
        </w:rPr>
        <w:t>DURAID HAMID NAJI AL-MIDFAI</w:t>
      </w:r>
    </w:p>
    <w:p>
      <w:pPr>
        <w:pStyle w:val="2"/>
        <w:spacing w:before="170"/>
        <w:ind w:left="0"/>
        <w:rPr>
          <w:rFonts w:ascii="Arial" w:hAnsi="Arial" w:cs="Arial"/>
          <w:b w:val="0"/>
          <w:bCs w:val="0"/>
          <w:sz w:val="18"/>
          <w:szCs w:val="18"/>
        </w:rPr>
      </w:pPr>
      <w:r>
        <w:rPr>
          <w:rFonts w:ascii="Arial" w:hAnsi="Arial" w:cs="Arial"/>
          <w:b w:val="0"/>
          <w:bCs w:val="0"/>
          <w:sz w:val="18"/>
          <w:szCs w:val="18"/>
        </w:rPr>
        <w:t>Postdoctoral</w:t>
      </w:r>
      <w:r>
        <w:rPr>
          <w:rFonts w:hint="cs" w:ascii="Arial" w:hAnsi="Arial" w:cs="Arial"/>
          <w:b w:val="0"/>
          <w:bCs w:val="0"/>
          <w:sz w:val="18"/>
          <w:szCs w:val="18"/>
          <w:rtl/>
        </w:rPr>
        <w:t xml:space="preserve"> </w:t>
      </w:r>
      <w:r>
        <w:rPr>
          <w:rFonts w:ascii="Arial" w:hAnsi="Arial" w:cs="Arial"/>
          <w:b w:val="0"/>
          <w:bCs w:val="0"/>
          <w:sz w:val="18"/>
          <w:szCs w:val="18"/>
        </w:rPr>
        <w:t>student, Henan provincial people’s Hospital; Fuwai Central China Cardiovascular Hospital, CHINA</w:t>
      </w:r>
    </w:p>
    <w:p>
      <w:pPr>
        <w:pStyle w:val="5"/>
        <w:rPr>
          <w:rFonts w:ascii="Arial"/>
          <w:sz w:val="20"/>
        </w:rPr>
      </w:pPr>
    </w:p>
    <w:p>
      <w:pPr>
        <w:pStyle w:val="5"/>
        <w:spacing w:before="3"/>
        <w:rPr>
          <w:rFonts w:ascii="Arial"/>
          <w:sz w:val="21"/>
        </w:rPr>
      </w:pPr>
    </w:p>
    <w:p>
      <w:pPr>
        <w:rPr>
          <w:rFonts w:ascii="Arial"/>
          <w:sz w:val="21"/>
        </w:rPr>
        <w:sectPr>
          <w:headerReference r:id="rId3" w:type="default"/>
          <w:footerReference r:id="rId4" w:type="default"/>
          <w:type w:val="continuous"/>
          <w:pgSz w:w="11910" w:h="16840"/>
          <w:pgMar w:top="1740" w:right="600" w:bottom="840" w:left="620" w:header="541" w:footer="642" w:gutter="0"/>
          <w:cols w:space="720" w:num="1"/>
        </w:sectPr>
      </w:pPr>
    </w:p>
    <w:p>
      <w:pPr>
        <w:pStyle w:val="4"/>
        <w:spacing w:before="147"/>
        <w:jc w:val="both"/>
        <w:rPr>
          <w:rFonts w:ascii="Times New Roman" w:hAnsi="Times New Roman" w:cs="Times New Roman"/>
          <w:color w:val="BF5A14"/>
          <w:sz w:val="18"/>
          <w:szCs w:val="18"/>
        </w:rPr>
      </w:pPr>
      <w:r>
        <w:rPr>
          <w:rFonts w:ascii="Times New Roman" w:hAnsi="Times New Roman" w:cs="Times New Roman"/>
          <w:color w:val="BF5A14"/>
          <w:sz w:val="18"/>
          <w:szCs w:val="18"/>
        </w:rPr>
        <w:t>Abstract</w:t>
      </w:r>
    </w:p>
    <w:p>
      <w:pPr>
        <w:pStyle w:val="12"/>
        <w:ind w:left="0" w:leftChars="0" w:firstLine="0" w:firstLineChars="0"/>
        <w:rPr>
          <w:sz w:val="18"/>
          <w:szCs w:val="18"/>
        </w:rPr>
      </w:pPr>
      <w:r>
        <w:rPr>
          <w:sz w:val="18"/>
          <w:szCs w:val="18"/>
        </w:rPr>
        <w:t xml:space="preserve"> </w:t>
      </w:r>
      <w:r>
        <w:rPr>
          <w:rFonts w:hint="eastAsia"/>
          <w:sz w:val="18"/>
          <w:szCs w:val="18"/>
          <w:lang w:val="en-US" w:eastAsia="zh-CN"/>
        </w:rPr>
        <w:t>In this study the o</w:t>
      </w:r>
      <w:r>
        <w:rPr>
          <w:sz w:val="18"/>
          <w:szCs w:val="18"/>
        </w:rPr>
        <w:t>bstruction of coronary ostium</w:t>
      </w:r>
      <w:r>
        <w:rPr>
          <w:sz w:val="18"/>
          <w:szCs w:val="18"/>
        </w:rPr>
        <w:t xml:space="preserve"> </w:t>
      </w:r>
      <w:r>
        <w:rPr>
          <w:rFonts w:hint="eastAsia"/>
          <w:sz w:val="18"/>
          <w:szCs w:val="18"/>
          <w:lang w:val="en-US" w:eastAsia="zh-CN"/>
        </w:rPr>
        <w:t xml:space="preserve">(CO) </w:t>
      </w:r>
      <w:r>
        <w:rPr>
          <w:sz w:val="18"/>
          <w:szCs w:val="18"/>
        </w:rPr>
        <w:t xml:space="preserve">is </w:t>
      </w:r>
      <w:r>
        <w:rPr>
          <w:rFonts w:hint="eastAsia"/>
          <w:sz w:val="18"/>
          <w:szCs w:val="18"/>
          <w:lang w:val="en-US" w:eastAsia="zh-CN"/>
        </w:rPr>
        <w:t>unusual</w:t>
      </w:r>
      <w:r>
        <w:rPr>
          <w:sz w:val="18"/>
          <w:szCs w:val="18"/>
        </w:rPr>
        <w:t xml:space="preserve"> but lethal complication </w:t>
      </w:r>
      <w:r>
        <w:rPr>
          <w:rFonts w:hint="eastAsia"/>
          <w:sz w:val="18"/>
          <w:szCs w:val="18"/>
          <w:lang w:val="en-US" w:eastAsia="zh-CN"/>
        </w:rPr>
        <w:t>under</w:t>
      </w:r>
      <w:r>
        <w:rPr>
          <w:sz w:val="18"/>
          <w:szCs w:val="18"/>
        </w:rPr>
        <w:t xml:space="preserve"> TAVI procedure it is not </w:t>
      </w:r>
      <w:r>
        <w:rPr>
          <w:rFonts w:hint="eastAsia"/>
          <w:sz w:val="18"/>
          <w:szCs w:val="18"/>
          <w:lang w:val="en-US" w:eastAsia="zh-CN"/>
        </w:rPr>
        <w:t>normally</w:t>
      </w:r>
      <w:r>
        <w:rPr>
          <w:sz w:val="18"/>
          <w:szCs w:val="18"/>
        </w:rPr>
        <w:t xml:space="preserve"> </w:t>
      </w:r>
      <w:r>
        <w:rPr>
          <w:rFonts w:hint="eastAsia"/>
          <w:sz w:val="18"/>
          <w:szCs w:val="18"/>
          <w:lang w:val="en-US" w:eastAsia="zh-CN"/>
        </w:rPr>
        <w:t xml:space="preserve">accepted </w:t>
      </w:r>
      <w:r>
        <w:rPr>
          <w:sz w:val="18"/>
          <w:szCs w:val="18"/>
        </w:rPr>
        <w:t xml:space="preserve">that a </w:t>
      </w:r>
      <w:r>
        <w:rPr>
          <w:rFonts w:hint="eastAsia"/>
          <w:sz w:val="18"/>
          <w:szCs w:val="18"/>
          <w:lang w:val="en-US" w:eastAsia="zh-CN"/>
        </w:rPr>
        <w:t xml:space="preserve">range </w:t>
      </w:r>
      <w:r>
        <w:rPr>
          <w:sz w:val="18"/>
          <w:szCs w:val="18"/>
        </w:rPr>
        <w:t>distance between the</w:t>
      </w:r>
      <w:r>
        <w:rPr>
          <w:rFonts w:hint="eastAsia"/>
          <w:sz w:val="18"/>
          <w:szCs w:val="18"/>
          <w:lang w:val="en-US" w:eastAsia="zh-CN"/>
        </w:rPr>
        <w:t xml:space="preserve"> </w:t>
      </w:r>
      <w:r>
        <w:rPr>
          <w:sz w:val="18"/>
          <w:szCs w:val="18"/>
        </w:rPr>
        <w:t xml:space="preserve">coronary ostium </w:t>
      </w:r>
      <w:r>
        <w:rPr>
          <w:rFonts w:hint="eastAsia"/>
          <w:sz w:val="18"/>
          <w:szCs w:val="18"/>
          <w:lang w:val="en-US" w:eastAsia="zh-CN"/>
        </w:rPr>
        <w:t xml:space="preserve">(CO) </w:t>
      </w:r>
      <w:r>
        <w:rPr>
          <w:sz w:val="18"/>
          <w:szCs w:val="18"/>
        </w:rPr>
        <w:t xml:space="preserve">and the annulus </w:t>
      </w:r>
      <w:r>
        <w:rPr>
          <w:rFonts w:hint="eastAsia"/>
          <w:sz w:val="18"/>
          <w:szCs w:val="18"/>
          <w:lang w:val="en-US" w:eastAsia="zh-CN"/>
        </w:rPr>
        <w:t>lower</w:t>
      </w:r>
      <w:r>
        <w:rPr>
          <w:sz w:val="18"/>
          <w:szCs w:val="18"/>
        </w:rPr>
        <w:t xml:space="preserve"> than 10mm </w:t>
      </w:r>
      <w:r>
        <w:rPr>
          <w:rFonts w:hint="eastAsia"/>
          <w:sz w:val="18"/>
          <w:szCs w:val="18"/>
          <w:lang w:val="en-US" w:eastAsia="zh-CN"/>
        </w:rPr>
        <w:t xml:space="preserve">or in case of </w:t>
      </w:r>
      <w:r>
        <w:rPr>
          <w:sz w:val="18"/>
          <w:szCs w:val="18"/>
        </w:rPr>
        <w:t xml:space="preserve"> sinus of Valsalva diameter </w:t>
      </w:r>
      <w:r>
        <w:rPr>
          <w:rFonts w:hint="eastAsia"/>
          <w:sz w:val="18"/>
          <w:szCs w:val="18"/>
          <w:lang w:val="en-US" w:eastAsia="zh-CN"/>
        </w:rPr>
        <w:t>around</w:t>
      </w:r>
      <w:r>
        <w:rPr>
          <w:sz w:val="18"/>
          <w:szCs w:val="18"/>
        </w:rPr>
        <w:t xml:space="preserve"> 30mm, </w:t>
      </w:r>
      <w:r>
        <w:rPr>
          <w:rFonts w:hint="eastAsia"/>
          <w:sz w:val="18"/>
          <w:szCs w:val="18"/>
          <w:lang w:val="en-US" w:eastAsia="zh-CN"/>
        </w:rPr>
        <w:t xml:space="preserve">while the </w:t>
      </w:r>
      <w:r>
        <w:rPr>
          <w:sz w:val="18"/>
          <w:szCs w:val="18"/>
        </w:rPr>
        <w:t xml:space="preserve">existing of bulky </w:t>
      </w:r>
      <w:r>
        <w:rPr>
          <w:rFonts w:hint="eastAsia"/>
          <w:sz w:val="18"/>
          <w:szCs w:val="18"/>
          <w:lang w:val="en-US" w:eastAsia="zh-CN"/>
        </w:rPr>
        <w:t>counted as a</w:t>
      </w:r>
      <w:r>
        <w:rPr>
          <w:sz w:val="18"/>
          <w:szCs w:val="18"/>
        </w:rPr>
        <w:t xml:space="preserve"> leaflet, </w:t>
      </w:r>
      <w:r>
        <w:rPr>
          <w:rFonts w:hint="eastAsia"/>
          <w:sz w:val="18"/>
          <w:szCs w:val="18"/>
          <w:lang w:val="en-US" w:eastAsia="zh-CN"/>
        </w:rPr>
        <w:t>this is also in case of</w:t>
      </w:r>
      <w:r>
        <w:rPr>
          <w:sz w:val="18"/>
          <w:szCs w:val="18"/>
        </w:rPr>
        <w:t xml:space="preserve"> the valve in valve implantation,</w:t>
      </w:r>
      <w:r>
        <w:rPr>
          <w:rFonts w:hint="eastAsia"/>
          <w:sz w:val="18"/>
          <w:szCs w:val="18"/>
          <w:lang w:val="en-US" w:eastAsia="zh-CN"/>
        </w:rPr>
        <w:t xml:space="preserve"> in this situation </w:t>
      </w:r>
      <w:r>
        <w:rPr>
          <w:sz w:val="18"/>
          <w:szCs w:val="18"/>
        </w:rPr>
        <w:t xml:space="preserve"> consider as a risks for coronary occlusion</w:t>
      </w:r>
      <w:r>
        <w:rPr>
          <w:rFonts w:hint="eastAsia"/>
          <w:sz w:val="18"/>
          <w:szCs w:val="18"/>
          <w:lang w:val="en-US" w:eastAsia="zh-CN"/>
        </w:rPr>
        <w:t xml:space="preserve"> (CO)</w:t>
      </w:r>
      <w:r>
        <w:rPr>
          <w:sz w:val="18"/>
          <w:szCs w:val="18"/>
        </w:rPr>
        <w:t xml:space="preserve"> as for TAVI </w:t>
      </w:r>
      <w:r>
        <w:rPr>
          <w:rFonts w:hint="eastAsia"/>
          <w:sz w:val="18"/>
          <w:szCs w:val="18"/>
          <w:lang w:val="en-US" w:eastAsia="zh-CN"/>
        </w:rPr>
        <w:t>methodology</w:t>
      </w:r>
      <w:r>
        <w:rPr>
          <w:sz w:val="18"/>
          <w:szCs w:val="18"/>
        </w:rPr>
        <w:t xml:space="preserve"> (1-2). </w:t>
      </w:r>
      <w:r>
        <w:rPr>
          <w:rFonts w:hint="eastAsia"/>
          <w:sz w:val="18"/>
          <w:szCs w:val="18"/>
          <w:lang w:val="en-US" w:eastAsia="zh-CN"/>
        </w:rPr>
        <w:t xml:space="preserve">In TAVAI device using </w:t>
      </w:r>
      <w:r>
        <w:rPr>
          <w:sz w:val="18"/>
          <w:szCs w:val="18"/>
        </w:rPr>
        <w:t>J-Valve™ system is a brand new second-generation</w:t>
      </w:r>
      <w:r>
        <w:rPr>
          <w:rFonts w:hint="eastAsia"/>
          <w:sz w:val="18"/>
          <w:szCs w:val="18"/>
          <w:lang w:val="en-US" w:eastAsia="zh-CN"/>
        </w:rPr>
        <w:t xml:space="preserve"> and </w:t>
      </w:r>
      <w:r>
        <w:rPr>
          <w:sz w:val="18"/>
          <w:szCs w:val="18"/>
        </w:rPr>
        <w:t xml:space="preserve">TAVI device </w:t>
      </w:r>
      <w:r>
        <w:rPr>
          <w:rFonts w:hint="eastAsia"/>
          <w:sz w:val="18"/>
          <w:szCs w:val="18"/>
          <w:lang w:val="en-US" w:eastAsia="zh-CN"/>
        </w:rPr>
        <w:t>divided in to</w:t>
      </w:r>
      <w:r>
        <w:rPr>
          <w:sz w:val="18"/>
          <w:szCs w:val="18"/>
        </w:rPr>
        <w:t xml:space="preserve"> three U-shapes anatomically oriented devices such as “claspers” which could f</w:t>
      </w:r>
      <w:r>
        <w:rPr>
          <w:rFonts w:hint="eastAsia"/>
          <w:sz w:val="18"/>
          <w:szCs w:val="18"/>
          <w:lang w:val="en-US" w:eastAsia="zh-CN"/>
        </w:rPr>
        <w:t>avour</w:t>
      </w:r>
      <w:r>
        <w:rPr>
          <w:sz w:val="18"/>
          <w:szCs w:val="18"/>
        </w:rPr>
        <w:t xml:space="preserve"> </w:t>
      </w:r>
      <w:r>
        <w:rPr>
          <w:rFonts w:hint="eastAsia"/>
          <w:sz w:val="18"/>
          <w:szCs w:val="18"/>
          <w:lang w:val="en-US" w:eastAsia="zh-CN"/>
        </w:rPr>
        <w:t>conjectural</w:t>
      </w:r>
      <w:r>
        <w:rPr>
          <w:sz w:val="18"/>
          <w:szCs w:val="18"/>
        </w:rPr>
        <w:t xml:space="preserve"> and “self-positioning” valve implantation (3). </w:t>
      </w:r>
      <w:r>
        <w:rPr>
          <w:rFonts w:hint="eastAsia"/>
          <w:sz w:val="18"/>
          <w:szCs w:val="18"/>
          <w:lang w:val="en-US" w:eastAsia="zh-CN"/>
        </w:rPr>
        <w:t xml:space="preserve">Furthermore, </w:t>
      </w:r>
      <w:r>
        <w:rPr>
          <w:sz w:val="18"/>
          <w:szCs w:val="18"/>
        </w:rPr>
        <w:t xml:space="preserve">Due to the ability to </w:t>
      </w:r>
      <w:r>
        <w:rPr>
          <w:rFonts w:hint="eastAsia"/>
          <w:sz w:val="18"/>
          <w:szCs w:val="18"/>
          <w:lang w:val="en-US" w:eastAsia="zh-CN"/>
        </w:rPr>
        <w:t>enclosure</w:t>
      </w:r>
      <w:r>
        <w:rPr>
          <w:sz w:val="18"/>
          <w:szCs w:val="18"/>
        </w:rPr>
        <w:t xml:space="preserve"> and </w:t>
      </w:r>
      <w:r>
        <w:rPr>
          <w:rFonts w:hint="eastAsia"/>
          <w:sz w:val="18"/>
          <w:szCs w:val="18"/>
          <w:lang w:val="en-US" w:eastAsia="zh-CN"/>
        </w:rPr>
        <w:t>snaffle</w:t>
      </w:r>
      <w:r>
        <w:rPr>
          <w:sz w:val="18"/>
          <w:szCs w:val="18"/>
        </w:rPr>
        <w:t xml:space="preserve"> the</w:t>
      </w:r>
      <w:r>
        <w:rPr>
          <w:rFonts w:hint="eastAsia"/>
          <w:sz w:val="18"/>
          <w:szCs w:val="18"/>
          <w:lang w:val="en-US" w:eastAsia="zh-CN"/>
        </w:rPr>
        <w:t xml:space="preserve"> main</w:t>
      </w:r>
      <w:r>
        <w:rPr>
          <w:sz w:val="18"/>
          <w:szCs w:val="18"/>
        </w:rPr>
        <w:t xml:space="preserve"> </w:t>
      </w:r>
      <w:r>
        <w:rPr>
          <w:rFonts w:hint="eastAsia"/>
          <w:sz w:val="18"/>
          <w:szCs w:val="18"/>
          <w:lang w:val="en-US" w:eastAsia="zh-CN"/>
        </w:rPr>
        <w:t xml:space="preserve">Major of </w:t>
      </w:r>
      <w:r>
        <w:rPr>
          <w:sz w:val="18"/>
          <w:szCs w:val="18"/>
        </w:rPr>
        <w:t xml:space="preserve">leaflets </w:t>
      </w:r>
      <w:r>
        <w:rPr>
          <w:rFonts w:hint="eastAsia"/>
          <w:sz w:val="18"/>
          <w:szCs w:val="18"/>
          <w:lang w:val="en-US" w:eastAsia="zh-CN"/>
        </w:rPr>
        <w:t>in main time of</w:t>
      </w:r>
      <w:r>
        <w:rPr>
          <w:sz w:val="18"/>
          <w:szCs w:val="18"/>
        </w:rPr>
        <w:t xml:space="preserve"> valve implantation and </w:t>
      </w:r>
      <w:r>
        <w:rPr>
          <w:rFonts w:hint="eastAsia"/>
          <w:sz w:val="18"/>
          <w:szCs w:val="18"/>
          <w:lang w:val="en-US" w:eastAsia="zh-CN"/>
        </w:rPr>
        <w:t>in specific</w:t>
      </w:r>
      <w:r>
        <w:rPr>
          <w:sz w:val="18"/>
          <w:szCs w:val="18"/>
        </w:rPr>
        <w:t xml:space="preserve"> designed extra bear area </w:t>
      </w:r>
      <w:r>
        <w:rPr>
          <w:rFonts w:hint="eastAsia"/>
          <w:sz w:val="18"/>
          <w:szCs w:val="18"/>
          <w:lang w:val="en-US" w:eastAsia="zh-CN"/>
        </w:rPr>
        <w:t xml:space="preserve">located </w:t>
      </w:r>
      <w:r>
        <w:rPr>
          <w:sz w:val="18"/>
          <w:szCs w:val="18"/>
        </w:rPr>
        <w:t xml:space="preserve">on the valve stent. The novelty of this valve is </w:t>
      </w:r>
      <w:r>
        <w:rPr>
          <w:rFonts w:hint="eastAsia"/>
          <w:sz w:val="18"/>
          <w:szCs w:val="18"/>
          <w:lang w:val="en-US" w:eastAsia="zh-CN"/>
        </w:rPr>
        <w:t>particular</w:t>
      </w:r>
      <w:r>
        <w:rPr>
          <w:sz w:val="18"/>
          <w:szCs w:val="18"/>
        </w:rPr>
        <w:t xml:space="preserve"> </w:t>
      </w:r>
      <w:r>
        <w:rPr>
          <w:rFonts w:hint="eastAsia"/>
          <w:sz w:val="18"/>
          <w:szCs w:val="18"/>
          <w:lang w:val="en-US" w:eastAsia="zh-CN"/>
        </w:rPr>
        <w:t>appropriate</w:t>
      </w:r>
      <w:r>
        <w:rPr>
          <w:sz w:val="18"/>
          <w:szCs w:val="18"/>
        </w:rPr>
        <w:t xml:space="preserve"> for </w:t>
      </w:r>
      <w:r>
        <w:rPr>
          <w:rFonts w:hint="eastAsia"/>
          <w:sz w:val="18"/>
          <w:szCs w:val="18"/>
          <w:lang w:val="en-US" w:eastAsia="zh-CN"/>
        </w:rPr>
        <w:t>the</w:t>
      </w:r>
      <w:r>
        <w:rPr>
          <w:sz w:val="18"/>
          <w:szCs w:val="18"/>
        </w:rPr>
        <w:t xml:space="preserve"> patient who is </w:t>
      </w:r>
      <w:r>
        <w:rPr>
          <w:rFonts w:hint="eastAsia"/>
          <w:sz w:val="18"/>
          <w:szCs w:val="18"/>
          <w:lang w:val="en-US" w:eastAsia="zh-CN"/>
        </w:rPr>
        <w:t>more in</w:t>
      </w:r>
      <w:r>
        <w:rPr>
          <w:sz w:val="18"/>
          <w:szCs w:val="18"/>
        </w:rPr>
        <w:t xml:space="preserve"> </w:t>
      </w:r>
      <w:r>
        <w:rPr>
          <w:rFonts w:hint="eastAsia"/>
          <w:sz w:val="18"/>
          <w:szCs w:val="18"/>
          <w:lang w:val="en-US" w:eastAsia="zh-CN"/>
        </w:rPr>
        <w:t xml:space="preserve">the </w:t>
      </w:r>
      <w:r>
        <w:rPr>
          <w:sz w:val="18"/>
          <w:szCs w:val="18"/>
        </w:rPr>
        <w:t xml:space="preserve">risk for coronary ostium </w:t>
      </w:r>
      <w:r>
        <w:rPr>
          <w:rFonts w:hint="eastAsia"/>
          <w:sz w:val="18"/>
          <w:szCs w:val="18"/>
          <w:lang w:val="en-US" w:eastAsia="zh-CN"/>
        </w:rPr>
        <w:t>(CO)</w:t>
      </w:r>
      <w:r>
        <w:rPr>
          <w:sz w:val="18"/>
          <w:szCs w:val="18"/>
        </w:rPr>
        <w:t xml:space="preserve"> such as valve-in-valve implantation. In this study </w:t>
      </w:r>
      <w:r>
        <w:rPr>
          <w:rFonts w:hint="eastAsia"/>
          <w:sz w:val="18"/>
          <w:szCs w:val="18"/>
          <w:lang w:val="en-US" w:eastAsia="zh-CN"/>
        </w:rPr>
        <w:t>convey</w:t>
      </w:r>
      <w:r>
        <w:rPr>
          <w:sz w:val="18"/>
          <w:szCs w:val="18"/>
        </w:rPr>
        <w:t xml:space="preserve"> the </w:t>
      </w:r>
      <w:r>
        <w:rPr>
          <w:rFonts w:hint="eastAsia"/>
          <w:sz w:val="18"/>
          <w:szCs w:val="18"/>
          <w:lang w:val="en-US" w:eastAsia="zh-CN"/>
        </w:rPr>
        <w:t>patient</w:t>
      </w:r>
      <w:r>
        <w:rPr>
          <w:sz w:val="18"/>
          <w:szCs w:val="18"/>
        </w:rPr>
        <w:t xml:space="preserve"> of </w:t>
      </w:r>
      <w:r>
        <w:rPr>
          <w:rFonts w:hint="eastAsia"/>
          <w:sz w:val="18"/>
          <w:szCs w:val="18"/>
          <w:lang w:val="en-US" w:eastAsia="zh-CN"/>
        </w:rPr>
        <w:t xml:space="preserve">utilize </w:t>
      </w:r>
      <w:r>
        <w:rPr>
          <w:sz w:val="18"/>
          <w:szCs w:val="18"/>
        </w:rPr>
        <w:t xml:space="preserve">J-Valve in </w:t>
      </w:r>
      <w:r>
        <w:rPr>
          <w:rFonts w:hint="eastAsia"/>
          <w:sz w:val="18"/>
          <w:szCs w:val="18"/>
          <w:lang w:val="en-US" w:eastAsia="zh-CN"/>
        </w:rPr>
        <w:t>therapy</w:t>
      </w:r>
      <w:r>
        <w:rPr>
          <w:sz w:val="18"/>
          <w:szCs w:val="18"/>
        </w:rPr>
        <w:t xml:space="preserve"> the </w:t>
      </w:r>
      <w:r>
        <w:rPr>
          <w:rFonts w:hint="eastAsia"/>
          <w:sz w:val="18"/>
          <w:szCs w:val="18"/>
          <w:lang w:val="en-US" w:eastAsia="zh-CN"/>
        </w:rPr>
        <w:t>case</w:t>
      </w:r>
      <w:r>
        <w:rPr>
          <w:sz w:val="18"/>
          <w:szCs w:val="18"/>
        </w:rPr>
        <w:t xml:space="preserve"> with an </w:t>
      </w:r>
      <w:r>
        <w:rPr>
          <w:rFonts w:hint="eastAsia"/>
          <w:sz w:val="18"/>
          <w:szCs w:val="18"/>
          <w:lang w:val="en-US" w:eastAsia="zh-CN"/>
        </w:rPr>
        <w:t>high</w:t>
      </w:r>
      <w:r>
        <w:rPr>
          <w:sz w:val="18"/>
          <w:szCs w:val="18"/>
        </w:rPr>
        <w:t xml:space="preserve"> risk of coronary ostium </w:t>
      </w:r>
      <w:r>
        <w:rPr>
          <w:rFonts w:hint="eastAsia"/>
          <w:sz w:val="18"/>
          <w:szCs w:val="18"/>
          <w:lang w:val="en-US" w:eastAsia="zh-CN"/>
        </w:rPr>
        <w:t>(CO)</w:t>
      </w:r>
      <w:r>
        <w:rPr>
          <w:sz w:val="18"/>
          <w:szCs w:val="18"/>
        </w:rPr>
        <w:t xml:space="preserve"> during TAVI</w:t>
      </w:r>
      <w:r>
        <w:rPr>
          <w:rFonts w:hint="eastAsia"/>
          <w:sz w:val="18"/>
          <w:szCs w:val="18"/>
          <w:lang w:val="en-US" w:eastAsia="zh-CN"/>
        </w:rPr>
        <w:t xml:space="preserve"> procedure</w:t>
      </w:r>
      <w:r>
        <w:rPr>
          <w:sz w:val="18"/>
          <w:szCs w:val="18"/>
        </w:rPr>
        <w:t>.</w:t>
      </w:r>
    </w:p>
    <w:p>
      <w:pPr>
        <w:pStyle w:val="12"/>
        <w:rPr>
          <w:sz w:val="18"/>
          <w:szCs w:val="18"/>
        </w:rPr>
      </w:pPr>
      <w:r>
        <w:rPr>
          <w:sz w:val="18"/>
          <w:szCs w:val="18"/>
        </w:rPr>
        <w:t xml:space="preserve"> </w:t>
      </w:r>
    </w:p>
    <w:p>
      <w:pPr>
        <w:pStyle w:val="12"/>
        <w:rPr>
          <w:kern w:val="0"/>
          <w:shd w:val="clear" w:color="auto" w:fill="FFFFFF"/>
          <w:rtl/>
        </w:rPr>
      </w:pPr>
    </w:p>
    <w:p>
      <w:pPr>
        <w:pStyle w:val="12"/>
        <w:rPr>
          <w:bCs/>
          <w:kern w:val="0"/>
          <w:shd w:val="clear" w:color="auto" w:fill="FFFFFF"/>
        </w:rPr>
      </w:pPr>
      <w:r>
        <w:rPr>
          <w:rFonts w:ascii="Times New Roman" w:hAnsi="Times New Roman" w:eastAsia="Arial" w:cs="Times New Roman"/>
          <w:b/>
          <w:bCs/>
          <w:color w:val="BF5A14"/>
          <w:sz w:val="18"/>
          <w:szCs w:val="18"/>
          <w:lang w:val="en-US" w:eastAsia="en-US" w:bidi="ar-SA"/>
        </w:rPr>
        <w:t>Keywords:</w:t>
      </w:r>
      <w:r>
        <w:rPr>
          <w:rFonts w:asciiTheme="majorBidi" w:hAnsiTheme="majorBidi" w:cstheme="majorBidi"/>
          <w:bCs/>
          <w:kern w:val="0"/>
          <w:sz w:val="22"/>
          <w:szCs w:val="22"/>
        </w:rPr>
        <w:t xml:space="preserve"> </w:t>
      </w:r>
      <w:r>
        <w:rPr>
          <w:rFonts w:hint="eastAsia"/>
          <w:sz w:val="18"/>
          <w:szCs w:val="18"/>
          <w:lang w:val="en-US" w:eastAsia="zh-CN"/>
        </w:rPr>
        <w:t>TAVI; Coronary Ostium; Valve Implantation; J-Valve™.</w:t>
      </w:r>
    </w:p>
    <w:p>
      <w:pPr>
        <w:jc w:val="both"/>
        <w:rPr>
          <w:sz w:val="18"/>
          <w:szCs w:val="18"/>
        </w:rPr>
      </w:pPr>
    </w:p>
    <w:p>
      <w:pPr>
        <w:spacing w:line="480" w:lineRule="auto"/>
        <w:jc w:val="both"/>
        <w:rPr>
          <w:sz w:val="18"/>
          <w:szCs w:val="18"/>
        </w:rPr>
      </w:pPr>
    </w:p>
    <w:p>
      <w:pPr>
        <w:spacing w:line="480" w:lineRule="auto"/>
        <w:ind w:firstLine="420"/>
        <w:jc w:val="both"/>
        <w:rPr>
          <w:sz w:val="18"/>
          <w:szCs w:val="18"/>
        </w:rPr>
      </w:pPr>
    </w:p>
    <w:p>
      <w:pPr>
        <w:spacing w:line="480" w:lineRule="auto"/>
        <w:ind w:left="88" w:hanging="88" w:hangingChars="49"/>
        <w:jc w:val="both"/>
        <w:rPr>
          <w:sz w:val="18"/>
          <w:szCs w:val="18"/>
        </w:rPr>
      </w:pPr>
    </w:p>
    <w:p>
      <w:pPr>
        <w:spacing w:line="480" w:lineRule="auto"/>
        <w:ind w:left="88" w:hanging="88" w:hangingChars="49"/>
        <w:jc w:val="both"/>
        <w:rPr>
          <w:sz w:val="18"/>
          <w:szCs w:val="18"/>
        </w:rPr>
      </w:pPr>
    </w:p>
    <w:p>
      <w:pPr>
        <w:spacing w:line="480" w:lineRule="auto"/>
        <w:ind w:left="88" w:hanging="88" w:hangingChars="49"/>
        <w:jc w:val="both"/>
        <w:rPr>
          <w:sz w:val="18"/>
          <w:szCs w:val="18"/>
        </w:rPr>
      </w:pPr>
    </w:p>
    <w:p>
      <w:pPr>
        <w:spacing w:line="480" w:lineRule="auto"/>
        <w:ind w:left="88" w:hanging="88" w:hangingChars="49"/>
        <w:jc w:val="both"/>
        <w:rPr>
          <w:sz w:val="18"/>
          <w:szCs w:val="18"/>
        </w:rPr>
      </w:pPr>
    </w:p>
    <w:p>
      <w:pPr>
        <w:spacing w:line="480" w:lineRule="auto"/>
        <w:ind w:left="88" w:hanging="88" w:hangingChars="49"/>
        <w:jc w:val="both"/>
        <w:rPr>
          <w:sz w:val="18"/>
          <w:szCs w:val="18"/>
        </w:rPr>
      </w:pPr>
    </w:p>
    <w:p>
      <w:pPr>
        <w:spacing w:line="480" w:lineRule="auto"/>
        <w:ind w:left="88" w:hanging="88" w:hangingChars="49"/>
        <w:jc w:val="both"/>
        <w:rPr>
          <w:sz w:val="18"/>
          <w:szCs w:val="18"/>
        </w:rPr>
      </w:pPr>
    </w:p>
    <w:p>
      <w:pPr>
        <w:spacing w:line="480" w:lineRule="auto"/>
        <w:ind w:left="88" w:hanging="88" w:hangingChars="49"/>
        <w:jc w:val="both"/>
        <w:rPr>
          <w:sz w:val="18"/>
          <w:szCs w:val="18"/>
        </w:rPr>
      </w:pPr>
    </w:p>
    <w:p>
      <w:pPr>
        <w:spacing w:line="480" w:lineRule="auto"/>
        <w:ind w:left="88" w:hanging="88" w:hangingChars="49"/>
        <w:jc w:val="both"/>
        <w:rPr>
          <w:sz w:val="18"/>
          <w:szCs w:val="18"/>
        </w:rPr>
      </w:pPr>
    </w:p>
    <w:p>
      <w:pPr>
        <w:pStyle w:val="4"/>
        <w:spacing w:before="147"/>
        <w:jc w:val="both"/>
      </w:pPr>
      <w:r>
        <w:rPr>
          <w:b w:val="0"/>
        </w:rPr>
        <w:br w:type="column"/>
      </w:r>
      <w:r>
        <w:rPr>
          <w:rFonts w:ascii="Times New Roman" w:hAnsi="Times New Roman" w:cs="Times New Roman"/>
          <w:color w:val="BF5A14"/>
          <w:sz w:val="18"/>
          <w:szCs w:val="18"/>
        </w:rPr>
        <w:t>Image</w:t>
      </w:r>
    </w:p>
    <w:p>
      <w:pPr>
        <w:pStyle w:val="18"/>
        <w:spacing w:line="360" w:lineRule="auto"/>
        <w:ind w:firstLine="0" w:firstLineChars="0"/>
        <w:jc w:val="center"/>
      </w:pPr>
      <w:r>
        <w:rPr>
          <w:rFonts w:asciiTheme="majorBidi" w:hAnsiTheme="majorBidi" w:cstheme="majorBidi"/>
          <w:kern w:val="0"/>
          <w:sz w:val="22"/>
          <w:szCs w:val="22"/>
        </w:rPr>
        <w:drawing>
          <wp:inline distT="0" distB="0" distL="0" distR="0">
            <wp:extent cx="2947035" cy="2735580"/>
            <wp:effectExtent l="0" t="0" r="5715" b="7620"/>
            <wp:docPr id="1" name="Picture 1" descr="C:\Users\duraid\Desktop\495C8822-95FB-4059-A802-AC02299B9F9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duraid\Desktop\495C8822-95FB-4059-A802-AC02299B9F97.TIF"/>
                    <pic:cNvPicPr>
                      <a:picLocks noChangeAspect="1" noChangeArrowheads="1"/>
                    </pic:cNvPicPr>
                  </pic:nvPicPr>
                  <pic:blipFill>
                    <a:blip r:embed="rId6">
                      <a:lum contrast="25000"/>
                    </a:blip>
                    <a:srcRect/>
                    <a:stretch>
                      <a:fillRect/>
                    </a:stretch>
                  </pic:blipFill>
                  <pic:spPr>
                    <a:xfrm>
                      <a:off x="0" y="0"/>
                      <a:ext cx="2947035" cy="2735580"/>
                    </a:xfrm>
                    <a:prstGeom prst="rect">
                      <a:avLst/>
                    </a:prstGeom>
                    <a:noFill/>
                    <a:ln w="9525">
                      <a:noFill/>
                      <a:miter lim="800000"/>
                      <a:headEnd/>
                      <a:tailEnd/>
                    </a:ln>
                    <a:effectLst>
                      <a:outerShdw blurRad="50800" dist="50800" dir="5400000" sx="1000" sy="1000" algn="ctr" rotWithShape="0">
                        <a:srgbClr val="000000">
                          <a:alpha val="43137"/>
                        </a:srgbClr>
                      </a:outerShdw>
                    </a:effectLst>
                    <a:scene3d>
                      <a:camera prst="orthographicFront"/>
                      <a:lightRig rig="threePt" dir="t"/>
                    </a:scene3d>
                    <a:sp3d>
                      <a:extrusionClr>
                        <a:schemeClr val="bg1"/>
                      </a:extrusionClr>
                    </a:sp3d>
                  </pic:spPr>
                </pic:pic>
              </a:graphicData>
            </a:graphic>
          </wp:inline>
        </w:drawing>
      </w:r>
      <w:r>
        <w:t xml:space="preserve"> </w:t>
      </w:r>
    </w:p>
    <w:p>
      <w:pPr>
        <w:jc w:val="both"/>
        <w:rPr>
          <w:rFonts w:ascii="Arial"/>
          <w:b/>
          <w:sz w:val="16"/>
        </w:rPr>
      </w:pPr>
      <w:r>
        <w:rPr>
          <w:rFonts w:ascii="Times New Roman" w:hAnsi="Times New Roman"/>
          <w:b/>
          <w:sz w:val="24"/>
          <w:szCs w:val="24"/>
        </w:rPr>
        <w:t xml:space="preserve"> </w:t>
      </w:r>
      <w:r>
        <w:rPr>
          <w:sz w:val="18"/>
          <w:szCs w:val="18"/>
        </w:rPr>
        <w:t xml:space="preserve">Figure 1 : J-Valve implantation in a patient with high risk of coronary obstruction. Upper Panel: Note both left coronary height was all less than 10mm with narrow aortic sinus (A-C).Lower Panel: CTA image after valve implantation. Valve was in good position with a patent coronary artery; the clasper of the J-Valve embraced and secured the native aortic valve leaflet then subsequently leaving the coronary ostia freely accessible from aortic leaflet (D-F). </w:t>
      </w:r>
    </w:p>
    <w:p>
      <w:pPr>
        <w:spacing w:line="204" w:lineRule="exact"/>
        <w:rPr>
          <w:rFonts w:ascii="Calibri" w:hAnsi="Calibri"/>
        </w:rPr>
      </w:pPr>
      <w:r>
        <w:rPr>
          <w:rFonts w:ascii="Arial"/>
          <w:b/>
          <w:color w:val="BF5A14"/>
          <w:sz w:val="20"/>
        </w:rPr>
        <w:br w:type="textWrapping"/>
      </w:r>
    </w:p>
    <w:p>
      <w:pPr>
        <w:tabs>
          <w:tab w:val="left" w:pos="384"/>
        </w:tabs>
        <w:ind w:right="117"/>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p>
    <w:p>
      <w:pPr>
        <w:pStyle w:val="5"/>
        <w:rPr>
          <w:rFonts w:ascii="Calibri"/>
          <w:sz w:val="20"/>
        </w:rPr>
      </w:pPr>
    </w:p>
    <w:p>
      <w:pPr>
        <w:pStyle w:val="5"/>
        <w:spacing w:line="40" w:lineRule="exact"/>
        <w:ind w:left="2202"/>
        <w:rPr>
          <w:rFonts w:ascii="Calibri"/>
          <w:sz w:val="4"/>
        </w:rPr>
      </w:pPr>
      <w:r>
        <w:rPr>
          <w:rFonts w:ascii="Calibri"/>
          <w:sz w:val="4"/>
          <w:lang w:val="en-IN" w:eastAsia="en-IN"/>
        </w:rPr>
        <w:pict>
          <v:group id="Group 4" o:spid="_x0000_s1026" o:spt="203" style="height:2pt;width:313.05pt;"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o:lock v:ext="edit"/>
            <v:line id="Line 5" o:spid="_x0000_s1027" o:spt="20" style="position:absolute;left:20;top:20;height:0;width:6221;" o:connectortype="straight" stroked="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v:path arrowok="t"/>
              <v:fill focussize="0,0"/>
              <v:stroke weight="2pt" color="#004080"/>
              <v:imagedata o:title=""/>
              <o:lock v:ext="edit"/>
            </v:line>
            <w10:wrap type="none"/>
            <w10:anchorlock/>
          </v:group>
        </w:pict>
      </w:r>
    </w:p>
    <w:p>
      <w:pPr>
        <w:spacing w:before="92"/>
        <w:ind w:right="4234"/>
        <w:rPr>
          <w:rFonts w:ascii="Arial"/>
        </w:rPr>
      </w:pPr>
      <w:r>
        <w:rPr>
          <w:lang w:eastAsia="zh-CN"/>
        </w:rPr>
        <w:drawing>
          <wp:inline distT="0" distB="0" distL="0" distR="0">
            <wp:extent cx="1257935" cy="1616710"/>
            <wp:effectExtent l="19050" t="0" r="0" b="0"/>
            <wp:docPr id="4" name="Picture 2" descr="D:\a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D:\a38-.jpg"/>
                    <pic:cNvPicPr>
                      <a:picLocks noChangeAspect="1" noChangeArrowheads="1"/>
                    </pic:cNvPicPr>
                  </pic:nvPicPr>
                  <pic:blipFill>
                    <a:blip r:embed="rId7" cstate="print"/>
                    <a:srcRect/>
                    <a:stretch>
                      <a:fillRect/>
                    </a:stretch>
                  </pic:blipFill>
                  <pic:spPr>
                    <a:xfrm>
                      <a:off x="0" y="0"/>
                      <a:ext cx="1257935" cy="1616710"/>
                    </a:xfrm>
                    <a:prstGeom prst="rect">
                      <a:avLst/>
                    </a:prstGeom>
                    <a:noFill/>
                    <a:ln w="9525">
                      <a:noFill/>
                      <a:miter lim="800000"/>
                      <a:headEnd/>
                      <a:tailEnd/>
                    </a:ln>
                  </pic:spPr>
                </pic:pic>
              </a:graphicData>
            </a:graphic>
          </wp:inline>
        </w:drawing>
      </w:r>
      <w:r>
        <w:rPr>
          <w:rFonts w:ascii="Arial"/>
          <w:color w:val="BF5A14"/>
        </w:rPr>
        <w:t xml:space="preserve"> </w:t>
      </w:r>
    </w:p>
    <w:p>
      <w:pPr>
        <w:jc w:val="both"/>
        <w:rPr>
          <w:rFonts w:asciiTheme="minorBidi" w:hAnsiTheme="minorBidi" w:cstheme="minorBidi"/>
          <w:sz w:val="14"/>
          <w:szCs w:val="14"/>
        </w:rPr>
      </w:pPr>
      <w:r>
        <w:rPr>
          <w:rFonts w:asciiTheme="minorBidi" w:hAnsiTheme="minorBidi" w:cstheme="minorBidi"/>
          <w:sz w:val="14"/>
          <w:szCs w:val="14"/>
        </w:rPr>
        <w:t xml:space="preserve">Dr. Duraid Al-Midfai considering the cardiovascular major for various reasons. Since I he was a child, he has been fascinated by the world around himself. When he traveled to China and Middle East, the conservation efforts of these two countries interested him and he knew that he wanted to do something related to the CAD disease in Genetics filed. He is currently a member of Fuwai Central China Cardiovascular Hospital As a post doctoral research in the cardio surgery department-in patient building as well as his work also collaborated with Henan Hospital in the Research Center building, which is a Big and famous hospital in central of china for  cardiovascular disease treatment.  </w:t>
      </w:r>
    </w:p>
    <w:p>
      <w:pPr>
        <w:jc w:val="both"/>
        <w:rPr>
          <w:rFonts w:asciiTheme="minorBidi" w:hAnsiTheme="minorBidi" w:cstheme="minorBidi"/>
          <w:sz w:val="14"/>
          <w:szCs w:val="14"/>
        </w:rPr>
      </w:pPr>
      <w:r>
        <w:rPr>
          <w:rFonts w:asciiTheme="minorBidi" w:hAnsiTheme="minorBidi" w:cstheme="minorBidi"/>
          <w:sz w:val="14"/>
          <w:szCs w:val="14"/>
        </w:rPr>
        <w:t xml:space="preserve">A long-term goal of him, his goals is to one day manage and discover a novel genes associated with various diseases in human genome. Moreover, he is also curious to learn more about any medical field that is somehow related to genetics research. </w:t>
      </w:r>
    </w:p>
    <w:p>
      <w:pPr>
        <w:spacing w:before="41" w:line="154" w:lineRule="exact"/>
        <w:ind w:left="213" w:right="231"/>
        <w:jc w:val="both"/>
        <w:rPr>
          <w:rFonts w:ascii="Arial"/>
          <w:sz w:val="14"/>
        </w:rPr>
      </w:pPr>
    </w:p>
    <w:p>
      <w:pPr>
        <w:spacing w:before="62"/>
        <w:ind w:left="4217" w:right="4235"/>
        <w:jc w:val="center"/>
        <w:rPr>
          <w:rFonts w:ascii="Arial"/>
          <w:color w:val="1F497D" w:themeColor="text2"/>
          <w:sz w:val="14"/>
        </w:rPr>
      </w:pPr>
      <w:r>
        <w:rPr>
          <w:rFonts w:ascii="Arial"/>
          <w:sz w:val="14"/>
        </w:rPr>
        <w:t xml:space="preserve">Email: </w:t>
      </w:r>
      <w:r>
        <w:fldChar w:fldCharType="begin"/>
      </w:r>
      <w:r>
        <w:instrText xml:space="preserve"> HYPERLINK "mailto:duraidhamied@gmail.com" </w:instrText>
      </w:r>
      <w:r>
        <w:fldChar w:fldCharType="separate"/>
      </w:r>
      <w:r>
        <w:rPr>
          <w:rStyle w:val="11"/>
          <w:rFonts w:ascii="Arial"/>
          <w:sz w:val="14"/>
        </w:rPr>
        <w:t>duraidhamied@gmail.com</w:t>
      </w:r>
      <w:r>
        <w:rPr>
          <w:rStyle w:val="11"/>
          <w:rFonts w:ascii="Arial"/>
          <w:sz w:val="14"/>
        </w:rPr>
        <w:fldChar w:fldCharType="end"/>
      </w:r>
    </w:p>
    <w:p>
      <w:pPr>
        <w:spacing w:before="39"/>
        <w:rPr>
          <w:rFonts w:ascii="Minion Pro"/>
          <w:b/>
          <w:sz w:val="20"/>
        </w:rPr>
      </w:pPr>
      <w:r>
        <w:rPr>
          <w:rFonts w:ascii="Minion Pro"/>
          <w:b/>
          <w:sz w:val="20"/>
        </w:rPr>
        <w:t xml:space="preserve">Notes/Comments: </w:t>
      </w:r>
    </w:p>
    <w:p>
      <w:pPr>
        <w:pStyle w:val="12"/>
        <w:numPr>
          <w:ilvl w:val="0"/>
          <w:numId w:val="1"/>
        </w:numPr>
        <w:spacing w:before="39"/>
        <w:rPr>
          <w:rFonts w:ascii="Minion Pro"/>
          <w:b/>
          <w:sz w:val="20"/>
        </w:rPr>
      </w:pPr>
      <w:r>
        <w:rPr>
          <w:rFonts w:ascii="Minion Pro"/>
          <w:b/>
          <w:sz w:val="20"/>
        </w:rPr>
        <w:t>First of all I would love to receive an email about the acceptance of the abstract, as well as,</w:t>
      </w:r>
      <w:r>
        <w:rPr>
          <w:rFonts w:hint="eastAsia" w:ascii="Minion Pro" w:eastAsia="宋体"/>
          <w:b/>
          <w:sz w:val="20"/>
          <w:lang w:val="en-US" w:eastAsia="zh-CN"/>
        </w:rPr>
        <w:t xml:space="preserve"> </w:t>
      </w:r>
      <w:r>
        <w:rPr>
          <w:rFonts w:ascii="Minion Pro"/>
          <w:b/>
          <w:sz w:val="20"/>
        </w:rPr>
        <w:t>I don’t like to share my article</w:t>
      </w:r>
      <w:r>
        <w:rPr>
          <w:rFonts w:hint="eastAsia" w:ascii="Minion Pro" w:eastAsia="宋体"/>
          <w:b/>
          <w:sz w:val="20"/>
          <w:lang w:val="en-US" w:eastAsia="zh-CN"/>
        </w:rPr>
        <w:t xml:space="preserve"> </w:t>
      </w:r>
      <w:r>
        <w:rPr>
          <w:rFonts w:ascii="Minion Pro"/>
          <w:b/>
          <w:sz w:val="20"/>
        </w:rPr>
        <w:t>with others in case does not accept it or before the conference so please be more secure</w:t>
      </w:r>
      <w:r>
        <w:rPr>
          <w:rFonts w:hint="eastAsia" w:ascii="Minion Pro" w:eastAsia="宋体"/>
          <w:b/>
          <w:sz w:val="20"/>
          <w:lang w:val="en-US" w:eastAsia="zh-CN"/>
        </w:rPr>
        <w:t xml:space="preserve"> and tell me in advance</w:t>
      </w:r>
      <w:r>
        <w:rPr>
          <w:rFonts w:ascii="Minion Pro"/>
          <w:b/>
          <w:sz w:val="20"/>
        </w:rPr>
        <w:t xml:space="preserve">. </w:t>
      </w:r>
    </w:p>
    <w:p>
      <w:pPr>
        <w:spacing w:before="39"/>
        <w:rPr>
          <w:rFonts w:ascii="Minion Pro"/>
          <w:b/>
          <w:sz w:val="20"/>
        </w:rPr>
        <w:sectPr>
          <w:type w:val="continuous"/>
          <w:pgSz w:w="11910" w:h="16840"/>
          <w:pgMar w:top="1740" w:right="600" w:bottom="840" w:left="620" w:header="720" w:footer="720" w:gutter="0"/>
          <w:cols w:space="720" w:num="1"/>
        </w:sectPr>
      </w:pPr>
    </w:p>
    <w:p>
      <w:pPr>
        <w:pStyle w:val="5"/>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Tw Cen MT">
    <w:panose1 w:val="020B0602020104020603"/>
    <w:charset w:val="00"/>
    <w:family w:val="swiss"/>
    <w:pitch w:val="default"/>
    <w:sig w:usb0="00000003" w:usb1="00000000" w:usb2="00000000" w:usb3="00000000" w:csb0="20000003" w:csb1="00000000"/>
  </w:font>
  <w:font w:name="Minion Pro">
    <w:altName w:val="Times New Roman"/>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orbel">
    <w:panose1 w:val="020B0503020204020204"/>
    <w:charset w:val="00"/>
    <w:family w:val="auto"/>
    <w:pitch w:val="default"/>
    <w:sig w:usb0="A00002EF" w:usb1="4000A4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w:pict>
        <v:shape id="Text Box 3" o:spid="_x0000_s4099" o:spt="202" type="#_x0000_t202" style="position:absolute;left:0pt;margin-left:35pt;margin-top:798.8pt;height:19.6pt;width:168.2pt;mso-position-horizontal-relative:page;mso-position-vertical-relative:page;z-index:-512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v:path/>
          <v:fill on="f" focussize="0,0"/>
          <v:stroke on="f" joinstyle="miter"/>
          <v:imagedata o:title=""/>
          <o:lock v:ext="edit"/>
          <v:textbox inset="0mm,0mm,0mm,0mm">
            <w:txbxContent>
              <w:p>
                <w:pPr>
                  <w:spacing w:line="184" w:lineRule="exact"/>
                  <w:ind w:left="20" w:right="-12"/>
                  <w:rPr>
                    <w:rFonts w:ascii="Arial"/>
                    <w:color w:val="FFFFFF" w:themeColor="background1"/>
                    <w:sz w:val="16"/>
                  </w:rPr>
                </w:pPr>
                <w:r>
                  <w:rPr>
                    <w:rFonts w:ascii="Arial"/>
                    <w:color w:val="FFFFFF" w:themeColor="background1"/>
                    <w:sz w:val="16"/>
                  </w:rPr>
                  <w:t>J Pain Relief</w:t>
                </w:r>
              </w:p>
              <w:p>
                <w:pPr>
                  <w:spacing w:before="8"/>
                  <w:ind w:left="20" w:right="-12"/>
                  <w:rPr>
                    <w:rFonts w:ascii="Arial"/>
                    <w:color w:val="FFFFFF" w:themeColor="background1"/>
                    <w:sz w:val="16"/>
                  </w:rPr>
                </w:pPr>
                <w:r>
                  <w:rPr>
                    <w:rFonts w:ascii="Arial"/>
                    <w:color w:val="FFFFFF" w:themeColor="background1"/>
                    <w:sz w:val="16"/>
                  </w:rPr>
                  <w:t>ISSN: 2167-0846 JPAR an open access journa</w:t>
                </w:r>
              </w:p>
            </w:txbxContent>
          </v:textbox>
        </v:shape>
      </w:pict>
    </w:r>
    <w:r>
      <w:rPr>
        <w:lang w:val="en-IN" w:eastAsia="en-IN"/>
      </w:rPr>
      <w:pict>
        <v:shape id="Text Box 2" o:spid="_x0000_s4098" o:spt="202" type="#_x0000_t202" style="position:absolute;left:0pt;margin-left:252.1pt;margin-top:799.05pt;height:24.95pt;width:91.9pt;mso-position-horizontal-relative:page;mso-position-vertical-relative:page;z-index:-512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v:path/>
          <v:fill on="f" focussize="0,0"/>
          <v:stroke on="f" joinstyle="miter"/>
          <v:imagedata o:title=""/>
          <o:lock v:ext="edit"/>
          <v:textbox inset="0mm,0mm,0mm,0mm">
            <w:txbxContent>
              <w:p>
                <w:pPr>
                  <w:spacing w:line="269" w:lineRule="exact"/>
                  <w:jc w:val="center"/>
                  <w:rPr>
                    <w:rFonts w:ascii="Impact"/>
                    <w:color w:val="FFFFFF" w:themeColor="background1"/>
                    <w:sz w:val="24"/>
                  </w:rPr>
                </w:pPr>
                <w:r>
                  <w:rPr>
                    <w:rFonts w:ascii="Impact"/>
                    <w:color w:val="FFFFFF" w:themeColor="background1"/>
                    <w:sz w:val="24"/>
                  </w:rPr>
                  <w:t>Fibromyalgia 2016</w:t>
                </w:r>
              </w:p>
              <w:p>
                <w:pPr>
                  <w:spacing w:before="29"/>
                  <w:jc w:val="center"/>
                  <w:rPr>
                    <w:rFonts w:ascii="Arial"/>
                    <w:color w:val="FFFFFF" w:themeColor="background1"/>
                    <w:sz w:val="16"/>
                  </w:rPr>
                </w:pPr>
                <w:r>
                  <w:rPr>
                    <w:rFonts w:ascii="Arial"/>
                    <w:color w:val="FFFFFF" w:themeColor="background1"/>
                    <w:sz w:val="16"/>
                  </w:rPr>
                  <w:t>June 15-16, 2016</w:t>
                </w:r>
              </w:p>
            </w:txbxContent>
          </v:textbox>
        </v:shape>
      </w:pict>
    </w:r>
    <w:r>
      <w:rPr>
        <w:lang w:val="en-IN" w:eastAsia="en-IN"/>
      </w:rPr>
      <w:pict>
        <v:shape id="Text Box 1" o:spid="_x0000_s4097" o:spt="202" type="#_x0000_t202" style="position:absolute;left:0pt;margin-left:468.9pt;margin-top:798.8pt;height:26.05pt;width:91.4pt;mso-position-horizontal-relative:page;mso-position-vertical-relative:page;z-index:-512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v:path/>
          <v:fill on="f" focussize="0,0"/>
          <v:stroke on="f" joinstyle="miter"/>
          <v:imagedata o:title=""/>
          <o:lock v:ext="edit"/>
          <v:textbox inset="0mm,0mm,0mm,0mm">
            <w:txbxContent>
              <w:p>
                <w:pPr>
                  <w:spacing w:line="184" w:lineRule="exact"/>
                  <w:ind w:right="18"/>
                  <w:jc w:val="right"/>
                  <w:rPr>
                    <w:rFonts w:ascii="Arial"/>
                    <w:color w:val="FFFFFF" w:themeColor="background1"/>
                    <w:sz w:val="16"/>
                  </w:rPr>
                </w:pPr>
                <w:r>
                  <w:rPr>
                    <w:rFonts w:ascii="Arial"/>
                    <w:color w:val="FFFFFF" w:themeColor="background1"/>
                    <w:sz w:val="16"/>
                  </w:rPr>
                  <w:t>Volume 5, Issue 3(Suppl)</w:t>
                </w:r>
              </w:p>
              <w:p>
                <w:pPr>
                  <w:spacing w:before="116"/>
                  <w:ind w:right="18"/>
                  <w:jc w:val="right"/>
                  <w:rPr>
                    <w:rFonts w:ascii="Minion Pro"/>
                    <w:color w:val="FFFFFF" w:themeColor="background1"/>
                    <w:sz w:val="16"/>
                  </w:rPr>
                </w:pPr>
                <w:r>
                  <w:rPr>
                    <w:rFonts w:ascii="Minion Pro"/>
                    <w:color w:val="FFFFFF" w:themeColor="background1"/>
                    <w:sz w:val="16"/>
                  </w:rPr>
                  <w:t>Page 40</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lang w:val="en-IN" w:eastAsia="en-IN"/>
      </w:rPr>
      <w:pict>
        <v:shape id="Text Box 4" o:spid="_x0000_s4100" o:spt="202" type="#_x0000_t202" style="position:absolute;left:0pt;margin-left:35pt;margin-top:48.3pt;height:40.1pt;width:515.95pt;mso-position-horizontal-relative:page;mso-position-vertical-relative:page;z-index:-512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v:path/>
          <v:fill on="f" focussize="0,0"/>
          <v:stroke on="f" joinstyle="miter"/>
          <v:imagedata o:title=""/>
          <o:lock v:ext="edit"/>
          <v:textbox inset="0mm,0mm,0mm,0mm">
            <w:txbxContent>
              <w:p>
                <w:pPr>
                  <w:pStyle w:val="5"/>
                  <w:spacing w:line="187" w:lineRule="exact"/>
                  <w:ind w:left="20" w:right="-10"/>
                  <w:rPr>
                    <w:rFonts w:ascii="Myriad Pro"/>
                    <w:color w:val="FFFFFF" w:themeColor="background1"/>
                  </w:rPr>
                </w:pPr>
                <w:r>
                  <w:rPr>
                    <w:rFonts w:ascii="Myriad Pro"/>
                    <w:color w:val="FFFFFF" w:themeColor="background1"/>
                  </w:rPr>
                  <w:t>International Conference on</w:t>
                </w:r>
              </w:p>
              <w:p>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31572D"/>
    <w:multiLevelType w:val="multilevel"/>
    <w:tmpl w:val="4731572D"/>
    <w:lvl w:ilvl="0" w:tentative="0">
      <w:start w:val="1"/>
      <w:numFmt w:val="bullet"/>
      <w:lvlText w:val=""/>
      <w:lvlJc w:val="left"/>
      <w:pPr>
        <w:ind w:left="720" w:hanging="360"/>
      </w:pPr>
      <w:rPr>
        <w:rFonts w:hint="default" w:ascii="Symbol" w:hAnsi="Symbo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10"/>
  <w:displayHorizontalDrawingGridEvery w:val="2"/>
  <w:characterSpacingControl w:val="doNotCompress"/>
  <w:hdrShapeDefaults>
    <o:shapelayout v:ext="edit">
      <o:idmap v:ext="edit" data="4"/>
    </o:shapelayout>
  </w:hdrShapeDefaults>
  <w:compat>
    <w:ulTrailSpace/>
    <w:useFELayout/>
    <w:compatSetting w:name="compatibilityMode" w:uri="http://schemas.microsoft.com/office/word" w:val="12"/>
  </w:compat>
  <w:rsids>
    <w:rsidRoot w:val="00AE3E37"/>
    <w:rsid w:val="00036366"/>
    <w:rsid w:val="00056C31"/>
    <w:rsid w:val="000642C6"/>
    <w:rsid w:val="00065718"/>
    <w:rsid w:val="000C2341"/>
    <w:rsid w:val="000E2911"/>
    <w:rsid w:val="00120F85"/>
    <w:rsid w:val="001263DF"/>
    <w:rsid w:val="00130FB5"/>
    <w:rsid w:val="001504EA"/>
    <w:rsid w:val="001B5FF8"/>
    <w:rsid w:val="002068D7"/>
    <w:rsid w:val="002220FB"/>
    <w:rsid w:val="00222831"/>
    <w:rsid w:val="00231684"/>
    <w:rsid w:val="00231D34"/>
    <w:rsid w:val="00237C49"/>
    <w:rsid w:val="00245D8C"/>
    <w:rsid w:val="0027261E"/>
    <w:rsid w:val="00275B0A"/>
    <w:rsid w:val="00292ED9"/>
    <w:rsid w:val="002D2350"/>
    <w:rsid w:val="002F0A5A"/>
    <w:rsid w:val="003A21F8"/>
    <w:rsid w:val="003B14B2"/>
    <w:rsid w:val="003B782D"/>
    <w:rsid w:val="003E726A"/>
    <w:rsid w:val="003F2567"/>
    <w:rsid w:val="003F3415"/>
    <w:rsid w:val="00404E5B"/>
    <w:rsid w:val="00406203"/>
    <w:rsid w:val="00414F7B"/>
    <w:rsid w:val="00432109"/>
    <w:rsid w:val="004355DC"/>
    <w:rsid w:val="004409CE"/>
    <w:rsid w:val="004447BE"/>
    <w:rsid w:val="004749B4"/>
    <w:rsid w:val="0048593E"/>
    <w:rsid w:val="00491041"/>
    <w:rsid w:val="00494130"/>
    <w:rsid w:val="004A717D"/>
    <w:rsid w:val="004B4F67"/>
    <w:rsid w:val="004C4A91"/>
    <w:rsid w:val="004F3523"/>
    <w:rsid w:val="00500463"/>
    <w:rsid w:val="0051358E"/>
    <w:rsid w:val="0051543F"/>
    <w:rsid w:val="0052389B"/>
    <w:rsid w:val="00571557"/>
    <w:rsid w:val="00573559"/>
    <w:rsid w:val="00595EEB"/>
    <w:rsid w:val="005973B9"/>
    <w:rsid w:val="005B36E5"/>
    <w:rsid w:val="005B3A56"/>
    <w:rsid w:val="005E5029"/>
    <w:rsid w:val="005F1294"/>
    <w:rsid w:val="005F5A11"/>
    <w:rsid w:val="00601367"/>
    <w:rsid w:val="00603880"/>
    <w:rsid w:val="006060CE"/>
    <w:rsid w:val="00624C6F"/>
    <w:rsid w:val="0063497F"/>
    <w:rsid w:val="006371A2"/>
    <w:rsid w:val="00670F14"/>
    <w:rsid w:val="00676F3A"/>
    <w:rsid w:val="006910C5"/>
    <w:rsid w:val="00692869"/>
    <w:rsid w:val="00694D8B"/>
    <w:rsid w:val="006F5F4B"/>
    <w:rsid w:val="0074376A"/>
    <w:rsid w:val="007543FC"/>
    <w:rsid w:val="00771F64"/>
    <w:rsid w:val="00781EC5"/>
    <w:rsid w:val="007829F7"/>
    <w:rsid w:val="007854C9"/>
    <w:rsid w:val="007E24E1"/>
    <w:rsid w:val="007F6BD9"/>
    <w:rsid w:val="0080299D"/>
    <w:rsid w:val="00820FBF"/>
    <w:rsid w:val="00823A02"/>
    <w:rsid w:val="00827B1F"/>
    <w:rsid w:val="00830D06"/>
    <w:rsid w:val="00836E37"/>
    <w:rsid w:val="00850B1F"/>
    <w:rsid w:val="0087395F"/>
    <w:rsid w:val="00873DF0"/>
    <w:rsid w:val="008756E6"/>
    <w:rsid w:val="00876353"/>
    <w:rsid w:val="008E57FC"/>
    <w:rsid w:val="008E7B3D"/>
    <w:rsid w:val="008F5D80"/>
    <w:rsid w:val="009240F8"/>
    <w:rsid w:val="00977F2A"/>
    <w:rsid w:val="009B2D44"/>
    <w:rsid w:val="009B7249"/>
    <w:rsid w:val="009D4C20"/>
    <w:rsid w:val="009E1E5F"/>
    <w:rsid w:val="009F48AE"/>
    <w:rsid w:val="00A07E82"/>
    <w:rsid w:val="00A1303C"/>
    <w:rsid w:val="00A40B23"/>
    <w:rsid w:val="00A42191"/>
    <w:rsid w:val="00A42D69"/>
    <w:rsid w:val="00A64066"/>
    <w:rsid w:val="00A9710C"/>
    <w:rsid w:val="00AC222E"/>
    <w:rsid w:val="00AE3E37"/>
    <w:rsid w:val="00AE7C4E"/>
    <w:rsid w:val="00AF70D5"/>
    <w:rsid w:val="00AF7644"/>
    <w:rsid w:val="00B21A57"/>
    <w:rsid w:val="00B502F2"/>
    <w:rsid w:val="00B645FE"/>
    <w:rsid w:val="00B64930"/>
    <w:rsid w:val="00B80605"/>
    <w:rsid w:val="00B96002"/>
    <w:rsid w:val="00BF4D6C"/>
    <w:rsid w:val="00C1799D"/>
    <w:rsid w:val="00C3323E"/>
    <w:rsid w:val="00C33602"/>
    <w:rsid w:val="00C56530"/>
    <w:rsid w:val="00CA2DA0"/>
    <w:rsid w:val="00CA495B"/>
    <w:rsid w:val="00CA6DFF"/>
    <w:rsid w:val="00CC00DB"/>
    <w:rsid w:val="00CD6F55"/>
    <w:rsid w:val="00D56DDB"/>
    <w:rsid w:val="00D93AEA"/>
    <w:rsid w:val="00DA77E0"/>
    <w:rsid w:val="00DB65A8"/>
    <w:rsid w:val="00DE3104"/>
    <w:rsid w:val="00E029EB"/>
    <w:rsid w:val="00E55B62"/>
    <w:rsid w:val="00E830A7"/>
    <w:rsid w:val="00EA4B07"/>
    <w:rsid w:val="00EA593C"/>
    <w:rsid w:val="00EC15AB"/>
    <w:rsid w:val="00F07D30"/>
    <w:rsid w:val="00F55D8F"/>
    <w:rsid w:val="00F72EEA"/>
    <w:rsid w:val="00F84CAE"/>
    <w:rsid w:val="00F84DD4"/>
    <w:rsid w:val="00FA1A66"/>
    <w:rsid w:val="00FA6E9D"/>
    <w:rsid w:val="00FB2CD6"/>
    <w:rsid w:val="00FC7A94"/>
    <w:rsid w:val="13E70DE2"/>
    <w:rsid w:val="443051D0"/>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semiHidden/>
    <w:unhideWhenUsed/>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semiHidden/>
    <w:unhideWhenUsed/>
    <w:qFormat/>
    <w:uiPriority w:val="99"/>
    <w:rPr>
      <w:rFonts w:ascii="Tahoma" w:hAnsi="Tahoma" w:cs="Tahoma"/>
      <w:sz w:val="16"/>
      <w:szCs w:val="16"/>
    </w:rPr>
  </w:style>
  <w:style w:type="paragraph" w:styleId="7">
    <w:name w:val="footer"/>
    <w:basedOn w:val="1"/>
    <w:link w:val="15"/>
    <w:unhideWhenUsed/>
    <w:qFormat/>
    <w:uiPriority w:val="99"/>
    <w:pPr>
      <w:tabs>
        <w:tab w:val="center" w:pos="4513"/>
        <w:tab w:val="right" w:pos="9026"/>
      </w:tabs>
    </w:pPr>
  </w:style>
  <w:style w:type="paragraph" w:styleId="8">
    <w:name w:val="header"/>
    <w:basedOn w:val="1"/>
    <w:link w:val="14"/>
    <w:unhideWhenUsed/>
    <w:qFormat/>
    <w:uiPriority w:val="99"/>
    <w:pPr>
      <w:tabs>
        <w:tab w:val="center" w:pos="4513"/>
        <w:tab w:val="right" w:pos="9026"/>
      </w:tabs>
    </w:pPr>
  </w:style>
  <w:style w:type="character" w:styleId="11">
    <w:name w:val="Hyperlink"/>
    <w:basedOn w:val="10"/>
    <w:unhideWhenUsed/>
    <w:uiPriority w:val="99"/>
    <w:rPr>
      <w:color w:val="0000FF" w:themeColor="hyperlink"/>
      <w:u w:val="single"/>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10"/>
    <w:link w:val="8"/>
    <w:uiPriority w:val="99"/>
    <w:rPr>
      <w:rFonts w:ascii="Tw Cen MT" w:hAnsi="Tw Cen MT" w:eastAsia="Tw Cen MT" w:cs="Tw Cen MT"/>
    </w:rPr>
  </w:style>
  <w:style w:type="character" w:customStyle="1" w:styleId="15">
    <w:name w:val="Footer Char"/>
    <w:basedOn w:val="10"/>
    <w:link w:val="7"/>
    <w:qFormat/>
    <w:uiPriority w:val="99"/>
    <w:rPr>
      <w:rFonts w:ascii="Tw Cen MT" w:hAnsi="Tw Cen MT" w:eastAsia="Tw Cen MT" w:cs="Tw Cen MT"/>
    </w:rPr>
  </w:style>
  <w:style w:type="character" w:customStyle="1" w:styleId="16">
    <w:name w:val="Balloon Text Char"/>
    <w:basedOn w:val="10"/>
    <w:link w:val="6"/>
    <w:semiHidden/>
    <w:qFormat/>
    <w:uiPriority w:val="99"/>
    <w:rPr>
      <w:rFonts w:ascii="Tahoma" w:hAnsi="Tahoma" w:eastAsia="Tw Cen MT" w:cs="Tahoma"/>
      <w:sz w:val="16"/>
      <w:szCs w:val="16"/>
    </w:rPr>
  </w:style>
  <w:style w:type="character" w:customStyle="1" w:styleId="17">
    <w:name w:val="Body Text Char"/>
    <w:basedOn w:val="10"/>
    <w:link w:val="5"/>
    <w:uiPriority w:val="1"/>
    <w:rPr>
      <w:rFonts w:ascii="Tw Cen MT" w:hAnsi="Tw Cen MT" w:eastAsia="Tw Cen MT" w:cs="Tw Cen MT"/>
      <w:sz w:val="18"/>
      <w:szCs w:val="18"/>
    </w:rPr>
  </w:style>
  <w:style w:type="paragraph" w:styleId="18">
    <w:name w:val="No Spacing"/>
    <w:link w:val="19"/>
    <w:qFormat/>
    <w:uiPriority w:val="1"/>
    <w:pPr>
      <w:widowControl w:val="0"/>
      <w:spacing w:line="480" w:lineRule="auto"/>
      <w:ind w:firstLine="200" w:firstLineChars="200"/>
      <w:jc w:val="both"/>
    </w:pPr>
    <w:rPr>
      <w:rFonts w:ascii="Times New Roman" w:hAnsi="Times New Roman" w:eastAsia="Times New Roman" w:cs="Times New Roman"/>
      <w:kern w:val="2"/>
      <w:sz w:val="24"/>
      <w:szCs w:val="24"/>
      <w:lang w:val="en-US" w:eastAsia="zh-CN" w:bidi="ar-SA"/>
    </w:rPr>
  </w:style>
  <w:style w:type="character" w:customStyle="1" w:styleId="19">
    <w:name w:val="No Spacing Char"/>
    <w:basedOn w:val="10"/>
    <w:link w:val="18"/>
    <w:uiPriority w:val="1"/>
    <w:rPr>
      <w:rFonts w:ascii="Times New Roman" w:hAnsi="Times New Roman" w:eastAsia="Times New Roman" w:cs="Times New Roman"/>
      <w:kern w:val="2"/>
      <w:sz w:val="24"/>
      <w:szCs w:val="24"/>
      <w:lang w:eastAsia="zh-CN"/>
    </w:rPr>
  </w:style>
  <w:style w:type="paragraph" w:customStyle="1" w:styleId="20">
    <w:name w:val="图注"/>
    <w:basedOn w:val="18"/>
    <w:link w:val="21"/>
    <w:qFormat/>
    <w:uiPriority w:val="0"/>
    <w:pPr>
      <w:spacing w:line="360" w:lineRule="auto"/>
      <w:ind w:firstLine="0" w:firstLineChars="0"/>
      <w:jc w:val="center"/>
    </w:pPr>
    <w:rPr>
      <w:sz w:val="21"/>
    </w:rPr>
  </w:style>
  <w:style w:type="character" w:customStyle="1" w:styleId="21">
    <w:name w:val="图注 Char"/>
    <w:basedOn w:val="19"/>
    <w:link w:val="20"/>
    <w:uiPriority w:val="0"/>
    <w:rPr>
      <w:sz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100"/>
    <customShpInfo spid="_x0000_s4099"/>
    <customShpInfo spid="_x0000_s4098"/>
    <customShpInfo spid="_x0000_s4097"/>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462</Words>
  <Characters>2640</Characters>
  <Lines>22</Lines>
  <Paragraphs>6</Paragraphs>
  <TotalTime>0</TotalTime>
  <ScaleCrop>false</ScaleCrop>
  <LinksUpToDate>false</LinksUpToDate>
  <CharactersWithSpaces>3096</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2019-05-22T06:14:00Z</dcterms:created>
  <dc:creator>mehaboobi shaik</dc:creator>
  <cp:lastModifiedBy>luna</cp:lastModifiedBy>
  <dcterms:modified xsi:type="dcterms:W3CDTF">2019-10-14T08:39:26Z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2052-11.1.0.9098</vt:lpwstr>
  </property>
</Properties>
</file>