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222" w:rsidRPr="00F7045F" w:rsidRDefault="00265843" w:rsidP="00F770B5">
      <w:pPr>
        <w:pStyle w:val="BodyText"/>
        <w:spacing w:before="240" w:after="240"/>
        <w:contextualSpacing/>
        <w:rPr>
          <w:rFonts w:ascii="Times New Roman" w:hAnsi="Times New Roman" w:cs="Times New Roman"/>
          <w:b/>
          <w:sz w:val="24"/>
          <w:szCs w:val="24"/>
          <w:lang w:val="it-IT"/>
        </w:rPr>
      </w:pPr>
      <w:r w:rsidRPr="00F7045F">
        <w:rPr>
          <w:rFonts w:ascii="Times New Roman" w:hAnsi="Times New Roman" w:cs="Times New Roman"/>
          <w:b/>
          <w:sz w:val="24"/>
          <w:szCs w:val="24"/>
          <w:lang w:val="it-IT"/>
        </w:rPr>
        <w:t>Title</w:t>
      </w:r>
      <w:r w:rsidRPr="00415184">
        <w:rPr>
          <w:rFonts w:ascii="Times New Roman" w:hAnsi="Times New Roman" w:cs="Times New Roman"/>
          <w:b/>
          <w:sz w:val="24"/>
          <w:szCs w:val="24"/>
          <w:lang w:val="it-IT"/>
        </w:rPr>
        <w:t xml:space="preserve">: </w:t>
      </w:r>
      <w:r w:rsidR="00F770B5" w:rsidRPr="00F770B5">
        <w:rPr>
          <w:rFonts w:ascii="Times New Roman" w:hAnsi="Times New Roman" w:cs="Times New Roman"/>
          <w:b/>
          <w:sz w:val="24"/>
          <w:szCs w:val="24"/>
          <w:lang w:val="it-IT"/>
        </w:rPr>
        <w:t xml:space="preserve">Picky Eating Behavior during Infancy and Weight Status among Preschool Children in Kuwait </w:t>
      </w:r>
      <w:r w:rsidRPr="00F7045F">
        <w:rPr>
          <w:rFonts w:ascii="Times New Roman" w:hAnsi="Times New Roman" w:cs="Times New Roman"/>
          <w:sz w:val="24"/>
          <w:szCs w:val="24"/>
        </w:rPr>
        <w:t>Tasleem A. Zafar, Department of Food Science and Nutrition, Kuwait University, Kuwait</w:t>
      </w:r>
    </w:p>
    <w:p w:rsidR="00E15222" w:rsidRPr="009A5B20" w:rsidRDefault="00E15222" w:rsidP="00E15222">
      <w:pPr>
        <w:pStyle w:val="BodyText"/>
        <w:rPr>
          <w:rFonts w:ascii="Times New Roman" w:hAnsi="Times New Roman" w:cs="Times New Roman"/>
          <w:b/>
          <w:bCs/>
          <w:sz w:val="20"/>
          <w:szCs w:val="20"/>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A4EA1" w:rsidRPr="00F770B5" w:rsidRDefault="00A9710C" w:rsidP="00AB058B">
      <w:pPr>
        <w:pStyle w:val="Heading3"/>
        <w:spacing w:before="147"/>
        <w:ind w:left="0"/>
        <w:jc w:val="both"/>
        <w:rPr>
          <w:b w:val="0"/>
          <w:bCs w:val="0"/>
          <w:sz w:val="24"/>
          <w:szCs w:val="24"/>
        </w:rPr>
      </w:pPr>
      <w:r w:rsidRPr="009A5B20">
        <w:rPr>
          <w:sz w:val="24"/>
          <w:szCs w:val="24"/>
        </w:rPr>
        <w:t>Abstract</w:t>
      </w:r>
      <w:r w:rsidR="00AA4EA1" w:rsidRPr="009A5B20">
        <w:rPr>
          <w:sz w:val="24"/>
          <w:szCs w:val="24"/>
        </w:rPr>
        <w:t xml:space="preserve"> </w:t>
      </w:r>
    </w:p>
    <w:p w:rsidR="00AE3E37" w:rsidRPr="00F770B5" w:rsidRDefault="00F770B5" w:rsidP="007B0CB7">
      <w:pPr>
        <w:ind w:left="540"/>
        <w:jc w:val="both"/>
        <w:rPr>
          <w:sz w:val="20"/>
          <w:szCs w:val="20"/>
        </w:rPr>
      </w:pPr>
      <w:r w:rsidRPr="00F770B5">
        <w:rPr>
          <w:rFonts w:ascii="Times New Roman" w:eastAsia="Batang" w:hAnsi="Times New Roman" w:cs="Times New Roman"/>
          <w:lang w:val="it-IT" w:eastAsia="it-IT"/>
        </w:rPr>
        <w:t xml:space="preserve">Picky eating behavior is a common phenomenon </w:t>
      </w:r>
      <w:r w:rsidR="00876EC4">
        <w:rPr>
          <w:rFonts w:ascii="Times New Roman" w:eastAsia="Batang" w:hAnsi="Times New Roman" w:cs="Times New Roman"/>
          <w:lang w:val="it-IT" w:eastAsia="it-IT"/>
        </w:rPr>
        <w:t xml:space="preserve">during </w:t>
      </w:r>
      <w:r w:rsidRPr="00F770B5">
        <w:rPr>
          <w:rFonts w:ascii="Times New Roman" w:eastAsia="Batang" w:hAnsi="Times New Roman" w:cs="Times New Roman"/>
          <w:lang w:val="it-IT" w:eastAsia="it-IT"/>
        </w:rPr>
        <w:t xml:space="preserve">childhood. </w:t>
      </w:r>
      <w:r>
        <w:rPr>
          <w:rFonts w:ascii="Times New Roman" w:eastAsia="Batang" w:hAnsi="Times New Roman" w:cs="Times New Roman"/>
          <w:lang w:val="it-IT" w:eastAsia="it-IT"/>
        </w:rPr>
        <w:t>P</w:t>
      </w:r>
      <w:r w:rsidRPr="00F770B5">
        <w:rPr>
          <w:rFonts w:ascii="Times New Roman" w:eastAsia="Batang" w:hAnsi="Times New Roman" w:cs="Times New Roman"/>
          <w:lang w:val="it-IT" w:eastAsia="it-IT"/>
        </w:rPr>
        <w:t>ickiness in eating may interfere with the child’s food intake and thus physical growth, it is essential to identify the factors leading towards the picky eating behavior. This study was planned to investigate the prevalence of picky eating among the preschool children, its possible association with early feeding practices, including type of feeding used during infancy, introduction of solid food and weaning age as well as other social or behavioral factors.</w:t>
      </w:r>
      <w:r>
        <w:rPr>
          <w:rFonts w:ascii="Times New Roman" w:eastAsia="Batang" w:hAnsi="Times New Roman" w:cs="Times New Roman"/>
          <w:lang w:val="it-IT" w:eastAsia="it-IT"/>
        </w:rPr>
        <w:t xml:space="preserve"> </w:t>
      </w:r>
      <w:r w:rsidR="00876EC4">
        <w:rPr>
          <w:rFonts w:ascii="Times New Roman" w:eastAsia="Batang" w:hAnsi="Times New Roman" w:cs="Times New Roman"/>
          <w:lang w:val="it-IT" w:eastAsia="it-IT"/>
        </w:rPr>
        <w:t>P</w:t>
      </w:r>
      <w:r w:rsidRPr="00F770B5">
        <w:rPr>
          <w:rFonts w:ascii="Times New Roman" w:eastAsia="Batang" w:hAnsi="Times New Roman" w:cs="Times New Roman"/>
          <w:lang w:val="it-IT" w:eastAsia="it-IT"/>
        </w:rPr>
        <w:t>icky eaters</w:t>
      </w:r>
      <w:r>
        <w:rPr>
          <w:rFonts w:ascii="Times New Roman" w:eastAsia="Batang" w:hAnsi="Times New Roman" w:cs="Times New Roman"/>
          <w:lang w:val="it-IT" w:eastAsia="it-IT"/>
        </w:rPr>
        <w:t xml:space="preserve"> </w:t>
      </w:r>
      <w:r w:rsidR="00876EC4">
        <w:rPr>
          <w:rFonts w:ascii="Times New Roman" w:eastAsia="Batang" w:hAnsi="Times New Roman" w:cs="Times New Roman"/>
          <w:lang w:val="it-IT" w:eastAsia="it-IT"/>
        </w:rPr>
        <w:t xml:space="preserve">were identified </w:t>
      </w:r>
      <w:r>
        <w:rPr>
          <w:rFonts w:ascii="Times New Roman" w:eastAsia="Batang" w:hAnsi="Times New Roman" w:cs="Times New Roman"/>
          <w:lang w:val="it-IT" w:eastAsia="it-IT"/>
        </w:rPr>
        <w:t>among</w:t>
      </w:r>
      <w:r w:rsidRPr="00F770B5">
        <w:rPr>
          <w:rFonts w:ascii="Times New Roman" w:eastAsia="Batang" w:hAnsi="Times New Roman" w:cs="Times New Roman"/>
          <w:lang w:val="it-IT" w:eastAsia="it-IT"/>
        </w:rPr>
        <w:t xml:space="preserve"> children, ages of 2-6 years </w:t>
      </w:r>
      <w:r>
        <w:rPr>
          <w:rFonts w:ascii="Times New Roman" w:eastAsia="Batang" w:hAnsi="Times New Roman" w:cs="Times New Roman"/>
          <w:lang w:val="it-IT" w:eastAsia="it-IT"/>
        </w:rPr>
        <w:t>(n=385)</w:t>
      </w:r>
      <w:r w:rsidR="00876EC4">
        <w:rPr>
          <w:rFonts w:ascii="Times New Roman" w:eastAsia="Batang" w:hAnsi="Times New Roman" w:cs="Times New Roman"/>
          <w:lang w:val="it-IT" w:eastAsia="it-IT"/>
        </w:rPr>
        <w:t xml:space="preserve"> through filling a validated</w:t>
      </w:r>
      <w:r w:rsidRPr="00F770B5">
        <w:rPr>
          <w:rFonts w:ascii="Times New Roman" w:eastAsia="Batang" w:hAnsi="Times New Roman" w:cs="Times New Roman"/>
          <w:lang w:val="it-IT" w:eastAsia="it-IT"/>
        </w:rPr>
        <w:t xml:space="preserve"> questionnaire </w:t>
      </w:r>
      <w:r w:rsidR="00876EC4">
        <w:rPr>
          <w:rFonts w:ascii="Times New Roman" w:eastAsia="Batang" w:hAnsi="Times New Roman" w:cs="Times New Roman"/>
          <w:lang w:val="it-IT" w:eastAsia="it-IT"/>
        </w:rPr>
        <w:t xml:space="preserve">by </w:t>
      </w:r>
      <w:r w:rsidRPr="00F770B5">
        <w:rPr>
          <w:rFonts w:ascii="Times New Roman" w:eastAsia="Batang" w:hAnsi="Times New Roman" w:cs="Times New Roman"/>
          <w:lang w:val="it-IT" w:eastAsia="it-IT"/>
        </w:rPr>
        <w:t>the mothers</w:t>
      </w:r>
      <w:r w:rsidR="00876EC4">
        <w:rPr>
          <w:rFonts w:ascii="Times New Roman" w:eastAsia="Batang" w:hAnsi="Times New Roman" w:cs="Times New Roman"/>
          <w:lang w:val="it-IT" w:eastAsia="it-IT"/>
        </w:rPr>
        <w:t xml:space="preserve"> volunteerily. The participant kids’ weight</w:t>
      </w:r>
      <w:r w:rsidRPr="00F770B5">
        <w:rPr>
          <w:rFonts w:ascii="Times New Roman" w:eastAsia="Batang" w:hAnsi="Times New Roman" w:cs="Times New Roman"/>
          <w:lang w:val="it-IT" w:eastAsia="it-IT"/>
        </w:rPr>
        <w:t xml:space="preserve"> and height were taken and evaluated through UK-WHO growth charts. Data was collected by trained dietitians in the pediatric nutrition clinics in 5 major governmental hospitals in Kuwait. Our results indicated about 37% prevalence of picky eating among preschool children in Kuwait. Picky eating was significantly associated with weaning age (χ2 =9.10, DF=2, p=0.011) and had a positive association with negative parental attitudes/actions towards their children’s eating behaviors (χ2 =46.99, DF=1, p =0.00). No association, however, was recorded with the type of feeding or with the age of introducing solid food. Picky eating was also positively associated with low </w:t>
      </w:r>
      <w:r w:rsidRPr="00F770B5">
        <w:rPr>
          <w:rFonts w:ascii="Times New Roman" w:eastAsia="Batang" w:hAnsi="Times New Roman" w:cs="Times New Roman"/>
          <w:lang w:val="it-IT" w:eastAsia="it-IT"/>
        </w:rPr>
        <w:t xml:space="preserve">Body Mass Index (BMI). </w:t>
      </w:r>
      <w:r w:rsidR="007B0CB7">
        <w:rPr>
          <w:rFonts w:ascii="Times New Roman" w:eastAsia="Batang" w:hAnsi="Times New Roman" w:cs="Times New Roman"/>
          <w:lang w:val="it-IT" w:eastAsia="it-IT"/>
        </w:rPr>
        <w:t>A</w:t>
      </w:r>
      <w:r w:rsidRPr="00F770B5">
        <w:rPr>
          <w:rFonts w:ascii="Times New Roman" w:eastAsia="Batang" w:hAnsi="Times New Roman" w:cs="Times New Roman"/>
          <w:lang w:val="it-IT" w:eastAsia="it-IT"/>
        </w:rPr>
        <w:t xml:space="preserve">mong children who were underweight, 64% were </w:t>
      </w:r>
      <w:r w:rsidR="007B0CB7">
        <w:rPr>
          <w:rFonts w:ascii="Times New Roman" w:eastAsia="Batang" w:hAnsi="Times New Roman" w:cs="Times New Roman"/>
          <w:lang w:val="it-IT" w:eastAsia="it-IT"/>
        </w:rPr>
        <w:t xml:space="preserve"> </w:t>
      </w:r>
      <w:r w:rsidRPr="00F770B5">
        <w:rPr>
          <w:rFonts w:ascii="Times New Roman" w:eastAsia="Batang" w:hAnsi="Times New Roman" w:cs="Times New Roman"/>
          <w:lang w:val="it-IT" w:eastAsia="it-IT"/>
        </w:rPr>
        <w:t xml:space="preserve">recognized picky eaters. This study confirmed more </w:t>
      </w:r>
      <w:r w:rsidR="007B0CB7">
        <w:rPr>
          <w:rFonts w:ascii="Times New Roman" w:eastAsia="Batang" w:hAnsi="Times New Roman" w:cs="Times New Roman"/>
          <w:lang w:val="it-IT" w:eastAsia="it-IT"/>
        </w:rPr>
        <w:t>t</w:t>
      </w:r>
      <w:r w:rsidRPr="00F770B5">
        <w:rPr>
          <w:rFonts w:ascii="Times New Roman" w:eastAsia="Batang" w:hAnsi="Times New Roman" w:cs="Times New Roman"/>
          <w:lang w:val="it-IT" w:eastAsia="it-IT"/>
        </w:rPr>
        <w:t>han third of the preschool children as picky eaters. We strongly urge to further investigate this behavior and its short- and long-term health outcomes on children.</w:t>
      </w:r>
    </w:p>
    <w:p w:rsidR="00B64512" w:rsidRPr="00B64512" w:rsidRDefault="00B64512" w:rsidP="00052525">
      <w:pPr>
        <w:pStyle w:val="ListParagraph"/>
        <w:spacing w:line="276" w:lineRule="auto"/>
        <w:ind w:left="810" w:firstLine="0"/>
        <w:rPr>
          <w:rFonts w:ascii="Times New Roman" w:hAnsi="Times New Roman" w:cs="Times New Roman"/>
        </w:rPr>
      </w:pPr>
    </w:p>
    <w:p w:rsidR="00B64512" w:rsidRPr="007B0CB7" w:rsidRDefault="00B64512" w:rsidP="007B0CB7">
      <w:pPr>
        <w:spacing w:line="276" w:lineRule="auto"/>
        <w:ind w:left="630"/>
        <w:rPr>
          <w:rFonts w:ascii="Times New Roman" w:hAnsi="Times New Roman" w:cs="Times New Roman"/>
          <w:b/>
          <w:bCs/>
        </w:rPr>
      </w:pPr>
      <w:r w:rsidRPr="007B0CB7">
        <w:rPr>
          <w:rFonts w:ascii="Times New Roman" w:hAnsi="Times New Roman" w:cs="Times New Roman"/>
          <w:b/>
          <w:bCs/>
        </w:rPr>
        <w:t>References</w:t>
      </w:r>
    </w:p>
    <w:p w:rsid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Abraham, E., Godwin, J., Sherriff, A., &amp; Armstrong, J. (2012). Public Health Nutrition, 15(09), 1705-1714</w:t>
      </w:r>
      <w:r>
        <w:rPr>
          <w:rFonts w:ascii="Times New Roman" w:eastAsia="Calibri" w:hAnsi="Times New Roman" w:cs="Times New Roman"/>
          <w:noProof/>
          <w:sz w:val="20"/>
          <w:szCs w:val="20"/>
        </w:rPr>
        <w:t>.</w:t>
      </w:r>
    </w:p>
    <w:p w:rsidR="007B0CB7" w:rsidRDefault="007B0CB7" w:rsidP="007B0CB7">
      <w:pPr>
        <w:tabs>
          <w:tab w:val="center" w:pos="4153"/>
          <w:tab w:val="right" w:pos="8306"/>
        </w:tabs>
        <w:ind w:left="720"/>
        <w:rPr>
          <w:rFonts w:ascii="Times New Roman" w:eastAsia="Calibri" w:hAnsi="Times New Roman" w:cs="Times New Roman"/>
          <w:noProof/>
          <w:sz w:val="20"/>
          <w:szCs w:val="20"/>
        </w:rPr>
      </w:pPr>
    </w:p>
    <w:p w:rsid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 xml:space="preserve">Benton, D. (2004). International Journal Of Obesity, 28(7), 858-869. </w:t>
      </w:r>
    </w:p>
    <w:p w:rsidR="007B0CB7" w:rsidRPr="007B0CB7" w:rsidRDefault="007B0CB7" w:rsidP="007B0CB7">
      <w:pPr>
        <w:tabs>
          <w:tab w:val="center" w:pos="4153"/>
          <w:tab w:val="right" w:pos="8306"/>
        </w:tabs>
        <w:ind w:left="720"/>
        <w:rPr>
          <w:rFonts w:ascii="Times New Roman" w:eastAsia="Calibri" w:hAnsi="Times New Roman" w:cs="Times New Roman"/>
          <w:noProof/>
          <w:sz w:val="20"/>
          <w:szCs w:val="20"/>
        </w:rPr>
      </w:pPr>
    </w:p>
    <w:p w:rsid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Birch, L. L., &amp; Fisher, J. O. (1998). Pediatrics, 101 (Supplement 2), 539-549.</w:t>
      </w:r>
    </w:p>
    <w:p w:rsidR="007B0CB7" w:rsidRPr="007B0CB7" w:rsidRDefault="007B0CB7" w:rsidP="007B0CB7">
      <w:pPr>
        <w:tabs>
          <w:tab w:val="center" w:pos="4153"/>
          <w:tab w:val="right" w:pos="8306"/>
        </w:tabs>
        <w:ind w:left="720"/>
        <w:rPr>
          <w:rFonts w:ascii="Times New Roman" w:eastAsia="Calibri" w:hAnsi="Times New Roman" w:cs="Times New Roman"/>
          <w:noProof/>
          <w:sz w:val="20"/>
          <w:szCs w:val="20"/>
        </w:rPr>
      </w:pPr>
    </w:p>
    <w:p w:rsidR="007B0CB7" w:rsidRP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 xml:space="preserve">Carruth, B., Ziegler, P., Gordon, A., &amp; Barr, S. (2004). Journal Of The American Dietetic Association, 104, 57-64. </w:t>
      </w:r>
    </w:p>
    <w:p w:rsidR="007B0CB7" w:rsidRDefault="007B0CB7" w:rsidP="007B0CB7">
      <w:pPr>
        <w:tabs>
          <w:tab w:val="center" w:pos="4153"/>
          <w:tab w:val="right" w:pos="8306"/>
        </w:tabs>
        <w:ind w:left="720"/>
        <w:rPr>
          <w:rFonts w:ascii="Times New Roman" w:eastAsia="Calibri" w:hAnsi="Times New Roman" w:cs="Times New Roman"/>
          <w:noProof/>
          <w:sz w:val="20"/>
          <w:szCs w:val="20"/>
        </w:rPr>
      </w:pPr>
    </w:p>
    <w:p w:rsidR="007B0CB7" w:rsidRP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Cooke, L., &amp; Fildes, A. (2011). Appetite, 57(3), 808-811</w:t>
      </w:r>
    </w:p>
    <w:p w:rsidR="007B0CB7" w:rsidRDefault="007B0CB7" w:rsidP="007B0CB7">
      <w:pPr>
        <w:tabs>
          <w:tab w:val="center" w:pos="4153"/>
          <w:tab w:val="right" w:pos="8306"/>
        </w:tabs>
        <w:ind w:left="720"/>
        <w:rPr>
          <w:rFonts w:ascii="Times New Roman" w:eastAsia="Calibri" w:hAnsi="Times New Roman" w:cs="Times New Roman"/>
          <w:noProof/>
          <w:sz w:val="20"/>
          <w:szCs w:val="20"/>
        </w:rPr>
      </w:pPr>
    </w:p>
    <w:p w:rsidR="007B0CB7" w:rsidRPr="007B0CB7" w:rsidRDefault="007B0CB7" w:rsidP="007B0CB7">
      <w:pPr>
        <w:tabs>
          <w:tab w:val="center" w:pos="4153"/>
          <w:tab w:val="right" w:pos="8306"/>
        </w:tabs>
        <w:ind w:left="720"/>
        <w:rPr>
          <w:rFonts w:ascii="Times New Roman" w:eastAsia="Calibri" w:hAnsi="Times New Roman" w:cs="Times New Roman"/>
          <w:noProof/>
          <w:sz w:val="20"/>
          <w:szCs w:val="20"/>
        </w:rPr>
      </w:pPr>
      <w:r w:rsidRPr="007B0CB7">
        <w:rPr>
          <w:rFonts w:ascii="Times New Roman" w:eastAsia="Calibri" w:hAnsi="Times New Roman" w:cs="Times New Roman"/>
          <w:noProof/>
          <w:sz w:val="20"/>
          <w:szCs w:val="20"/>
        </w:rPr>
        <w:t xml:space="preserve">Dashti, M., Scott, J., Edwards, C., &amp; Al-Sughayer, M. (2010. International Breastfeeding Journal, 5(1), 7-8. </w:t>
      </w:r>
    </w:p>
    <w:p w:rsidR="007B0CB7" w:rsidRDefault="007B0CB7" w:rsidP="007B0CB7">
      <w:pPr>
        <w:tabs>
          <w:tab w:val="center" w:pos="4153"/>
          <w:tab w:val="right" w:pos="8306"/>
        </w:tabs>
        <w:ind w:left="720"/>
        <w:rPr>
          <w:rFonts w:ascii="Times New Roman" w:eastAsia="Calibri" w:hAnsi="Times New Roman" w:cs="Times New Roman"/>
          <w:noProof/>
          <w:sz w:val="20"/>
          <w:szCs w:val="20"/>
        </w:rPr>
      </w:pPr>
    </w:p>
    <w:p w:rsidR="00AE3E37" w:rsidRPr="00E56996" w:rsidRDefault="007B0CB7" w:rsidP="007B0CB7">
      <w:pPr>
        <w:tabs>
          <w:tab w:val="center" w:pos="4153"/>
          <w:tab w:val="right" w:pos="8306"/>
        </w:tabs>
        <w:ind w:left="720"/>
        <w:sectPr w:rsidR="00AE3E37" w:rsidRPr="00E56996" w:rsidSect="007B0CB7">
          <w:type w:val="continuous"/>
          <w:pgSz w:w="11910" w:h="16840"/>
          <w:pgMar w:top="1740" w:right="600" w:bottom="840" w:left="620" w:header="720" w:footer="720" w:gutter="0"/>
          <w:cols w:num="2" w:space="3142" w:equalWidth="0">
            <w:col w:w="5214" w:space="138"/>
            <w:col w:w="5338"/>
          </w:cols>
        </w:sectPr>
      </w:pPr>
      <w:r w:rsidRPr="007B0CB7">
        <w:rPr>
          <w:rFonts w:ascii="Times New Roman" w:eastAsia="Calibri" w:hAnsi="Times New Roman" w:cs="Times New Roman"/>
          <w:noProof/>
          <w:sz w:val="20"/>
          <w:szCs w:val="20"/>
        </w:rPr>
        <w:t>Dubois, L., Farmer, A. P., Girard, M., &amp; Peterson, K. (2007).. European Journal of Clinical Nutrition, 61(7), 846-848.</w:t>
      </w:r>
      <w:r w:rsidR="008756E6" w:rsidRPr="00E5699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1AF54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85874" w:rsidRPr="00F85874" w:rsidRDefault="008756E6" w:rsidP="00F85874">
      <w:pPr>
        <w:autoSpaceDE w:val="0"/>
        <w:autoSpaceDN w:val="0"/>
        <w:adjustRightInd w:val="0"/>
        <w:jc w:val="both"/>
        <w:rPr>
          <w:rFonts w:ascii="Times New Roman" w:hAnsi="Times New Roman" w:cs="Times New Roman"/>
          <w:b/>
          <w:bCs/>
          <w:i/>
          <w:iCs/>
        </w:rPr>
      </w:pPr>
      <w:r>
        <w:rPr>
          <w:noProof/>
        </w:rPr>
        <w:t xml:space="preserve">              </w:t>
      </w:r>
      <w:r w:rsidR="00F85874">
        <w:rPr>
          <w:noProof/>
        </w:rPr>
        <w:drawing>
          <wp:inline distT="0" distB="0" distL="0" distR="0" wp14:anchorId="4F89D6B0">
            <wp:extent cx="492191" cy="601041"/>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740" cy="632240"/>
                    </a:xfrm>
                    <a:prstGeom prst="rect">
                      <a:avLst/>
                    </a:prstGeom>
                    <a:noFill/>
                  </pic:spPr>
                </pic:pic>
              </a:graphicData>
            </a:graphic>
          </wp:inline>
        </w:drawing>
      </w:r>
      <w:r w:rsidR="00F85874">
        <w:rPr>
          <w:noProof/>
        </w:rPr>
        <w:t xml:space="preserve">   </w:t>
      </w:r>
      <w:r w:rsidR="00F85874" w:rsidRPr="00F85874">
        <w:rPr>
          <w:rFonts w:ascii="Times New Roman" w:hAnsi="Times New Roman" w:cs="Times New Roman"/>
          <w:b/>
          <w:bCs/>
          <w:i/>
          <w:iCs/>
        </w:rPr>
        <w:t>Biography</w:t>
      </w:r>
    </w:p>
    <w:p w:rsidR="00AE3E37" w:rsidRDefault="00AE3E37" w:rsidP="00265843">
      <w:pPr>
        <w:spacing w:before="92"/>
        <w:ind w:right="4234"/>
        <w:rPr>
          <w:rFonts w:ascii="Arial"/>
        </w:rPr>
      </w:pPr>
    </w:p>
    <w:p w:rsidR="008F7254" w:rsidRPr="00F7045F" w:rsidRDefault="008F7254" w:rsidP="008F7254">
      <w:pPr>
        <w:jc w:val="both"/>
        <w:rPr>
          <w:rFonts w:ascii="Times New Roman" w:hAnsi="Times New Roman" w:cs="Times New Roman"/>
          <w:sz w:val="20"/>
          <w:szCs w:val="20"/>
        </w:rPr>
      </w:pPr>
      <w:r w:rsidRPr="00F7045F">
        <w:rPr>
          <w:rFonts w:ascii="Times New Roman" w:hAnsi="Times New Roman" w:cs="Times New Roman"/>
          <w:sz w:val="20"/>
          <w:szCs w:val="20"/>
        </w:rPr>
        <w:t>Tasleem A. Zafar, Associate Professor, earned her Ph.D. degree in Foods and Nutrition at Purdue University, USA. She obtained a substantial research experience as Research Associate at Purdue, and University of Toronto, Canada. She has a vast experience of more than 30 years of teaching graduate and undergraduate students and guiding research.  Her focal research interests concentrate on to explore a breakthrough for the epidemics of obesity and diabetes through functional food ingredient</w:t>
      </w:r>
      <w:r w:rsidR="00DD431E" w:rsidRPr="00F7045F">
        <w:rPr>
          <w:rFonts w:ascii="Times New Roman" w:hAnsi="Times New Roman" w:cs="Times New Roman"/>
          <w:sz w:val="20"/>
          <w:szCs w:val="20"/>
        </w:rPr>
        <w:t>s. She has published more than 2</w:t>
      </w:r>
      <w:r w:rsidR="00265843" w:rsidRPr="00F7045F">
        <w:rPr>
          <w:rFonts w:ascii="Times New Roman" w:hAnsi="Times New Roman" w:cs="Times New Roman"/>
          <w:sz w:val="20"/>
          <w:szCs w:val="20"/>
        </w:rPr>
        <w:t>5</w:t>
      </w:r>
      <w:r w:rsidRPr="00F7045F">
        <w:rPr>
          <w:rFonts w:ascii="Times New Roman" w:hAnsi="Times New Roman" w:cs="Times New Roman"/>
          <w:sz w:val="20"/>
          <w:szCs w:val="20"/>
        </w:rPr>
        <w:t xml:space="preserve"> original research articles in peer-reviewed journals and contributed chapters to four scholarly books published by Wiley-Blackwell Publishing Co., New York, USA and by IGI Global, USA. She has given invited talks, oral presentations and chaired several sessions at international conferences.  She is an</w:t>
      </w:r>
      <w:r w:rsidR="00DD431E" w:rsidRPr="00F7045F">
        <w:rPr>
          <w:rFonts w:ascii="Times New Roman" w:hAnsi="Times New Roman" w:cs="Times New Roman"/>
          <w:sz w:val="20"/>
          <w:szCs w:val="20"/>
        </w:rPr>
        <w:t xml:space="preserve"> honorary editor of the Paki</w:t>
      </w:r>
      <w:r w:rsidRPr="00F7045F">
        <w:rPr>
          <w:rFonts w:ascii="Times New Roman" w:hAnsi="Times New Roman" w:cs="Times New Roman"/>
          <w:sz w:val="20"/>
          <w:szCs w:val="20"/>
        </w:rPr>
        <w:t xml:space="preserve"> Journal of Home-Economics (PJHE) and has served as an honorary reviewer for many prestigious journals.</w:t>
      </w:r>
    </w:p>
    <w:p w:rsidR="00AE3E37" w:rsidRDefault="00AA24FF" w:rsidP="00AA24FF">
      <w:pPr>
        <w:spacing w:before="62"/>
        <w:ind w:right="4235"/>
        <w:rPr>
          <w:rStyle w:val="Hyperlink"/>
          <w:rFonts w:ascii="Times New Roman" w:hAnsi="Times New Roman" w:cs="Times New Roman"/>
          <w:sz w:val="20"/>
          <w:szCs w:val="20"/>
        </w:rPr>
      </w:pPr>
      <w:r w:rsidRPr="00F7045F">
        <w:rPr>
          <w:rFonts w:ascii="Times New Roman" w:hAnsi="Times New Roman" w:cs="Times New Roman"/>
          <w:sz w:val="20"/>
          <w:szCs w:val="20"/>
        </w:rPr>
        <w:t xml:space="preserve">Email: </w:t>
      </w:r>
      <w:hyperlink r:id="rId10" w:history="1">
        <w:r w:rsidRPr="00F7045F">
          <w:rPr>
            <w:rStyle w:val="Hyperlink"/>
            <w:rFonts w:ascii="Times New Roman" w:hAnsi="Times New Roman" w:cs="Times New Roman"/>
            <w:sz w:val="20"/>
            <w:szCs w:val="20"/>
          </w:rPr>
          <w:t>tasleem.zafar@ku.edu.kw</w:t>
        </w:r>
      </w:hyperlink>
      <w:r w:rsidRPr="00F7045F">
        <w:rPr>
          <w:rStyle w:val="Hyperlink"/>
          <w:rFonts w:ascii="Times New Roman" w:hAnsi="Times New Roman" w:cs="Times New Roman"/>
          <w:sz w:val="20"/>
          <w:szCs w:val="20"/>
        </w:rPr>
        <w:t xml:space="preserve"> </w:t>
      </w:r>
    </w:p>
    <w:p w:rsidR="00415184" w:rsidRDefault="00415184" w:rsidP="00AA24FF">
      <w:pPr>
        <w:spacing w:before="62"/>
        <w:ind w:right="4235"/>
        <w:rPr>
          <w:rStyle w:val="Hyperlink"/>
          <w:rFonts w:ascii="Times New Roman" w:hAnsi="Times New Roman" w:cs="Times New Roman"/>
          <w:sz w:val="20"/>
          <w:szCs w:val="20"/>
        </w:rPr>
      </w:pPr>
    </w:p>
    <w:p w:rsidR="00415184" w:rsidRDefault="00415184" w:rsidP="00415184">
      <w:pPr>
        <w:spacing w:before="62"/>
        <w:ind w:right="4235"/>
        <w:rPr>
          <w:rStyle w:val="Hyperlink"/>
          <w:rFonts w:ascii="Times New Roman" w:hAnsi="Times New Roman" w:cs="Times New Roman"/>
          <w:sz w:val="20"/>
          <w:szCs w:val="20"/>
        </w:rPr>
      </w:pPr>
    </w:p>
    <w:p w:rsidR="00415184" w:rsidRDefault="00415184" w:rsidP="00AA24FF">
      <w:pPr>
        <w:spacing w:before="62"/>
        <w:ind w:right="4235"/>
        <w:rPr>
          <w:rStyle w:val="Hyperlink"/>
          <w:rFonts w:ascii="Times New Roman" w:hAnsi="Times New Roman" w:cs="Times New Roman"/>
          <w:sz w:val="20"/>
          <w:szCs w:val="20"/>
        </w:rPr>
      </w:pPr>
    </w:p>
    <w:p w:rsidR="00415184" w:rsidRPr="00F7045F" w:rsidRDefault="00415184" w:rsidP="00AA24FF">
      <w:pPr>
        <w:spacing w:before="62"/>
        <w:ind w:right="4235"/>
        <w:rPr>
          <w:rFonts w:ascii="Minion Pro"/>
          <w:sz w:val="26"/>
          <w:szCs w:val="24"/>
        </w:rPr>
        <w:sectPr w:rsidR="00415184" w:rsidRPr="00F7045F">
          <w:type w:val="continuous"/>
          <w:pgSz w:w="11910" w:h="16840"/>
          <w:pgMar w:top="1740" w:right="600" w:bottom="840" w:left="620" w:header="720" w:footer="720" w:gutter="0"/>
          <w:cols w:space="720"/>
        </w:sectPr>
      </w:pPr>
    </w:p>
    <w:p w:rsidR="00AE3E37" w:rsidRDefault="00AE3E37" w:rsidP="00AA24FF">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BC8" w:rsidRDefault="00661BC8">
      <w:r>
        <w:separator/>
      </w:r>
    </w:p>
  </w:endnote>
  <w:endnote w:type="continuationSeparator" w:id="0">
    <w:p w:rsidR="00661BC8" w:rsidRDefault="00661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BC8" w:rsidRDefault="00661BC8">
      <w:r>
        <w:separator/>
      </w:r>
    </w:p>
  </w:footnote>
  <w:footnote w:type="continuationSeparator" w:id="0">
    <w:p w:rsidR="00661BC8" w:rsidRDefault="00661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47F22"/>
    <w:multiLevelType w:val="hybridMultilevel"/>
    <w:tmpl w:val="26E8D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28060F0"/>
    <w:multiLevelType w:val="multilevel"/>
    <w:tmpl w:val="29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045ED0"/>
    <w:multiLevelType w:val="hybridMultilevel"/>
    <w:tmpl w:val="17CAF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48D4885"/>
    <w:multiLevelType w:val="hybridMultilevel"/>
    <w:tmpl w:val="612AFFE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rEwMjAytDAzNDYztjRX0lEKTi0uzszPAykwqgUARAxedCwAAAA="/>
  </w:docVars>
  <w:rsids>
    <w:rsidRoot w:val="00AE3E37"/>
    <w:rsid w:val="000219B3"/>
    <w:rsid w:val="00052525"/>
    <w:rsid w:val="000B7556"/>
    <w:rsid w:val="000E2911"/>
    <w:rsid w:val="000E71A0"/>
    <w:rsid w:val="001263DF"/>
    <w:rsid w:val="001637BC"/>
    <w:rsid w:val="00261F1E"/>
    <w:rsid w:val="00265843"/>
    <w:rsid w:val="00292050"/>
    <w:rsid w:val="00292ED9"/>
    <w:rsid w:val="002C4F3E"/>
    <w:rsid w:val="002D7426"/>
    <w:rsid w:val="00310B79"/>
    <w:rsid w:val="00325B67"/>
    <w:rsid w:val="00331495"/>
    <w:rsid w:val="00341F65"/>
    <w:rsid w:val="00375A77"/>
    <w:rsid w:val="003D6F20"/>
    <w:rsid w:val="00404E5B"/>
    <w:rsid w:val="00414F7B"/>
    <w:rsid w:val="00415184"/>
    <w:rsid w:val="004355DC"/>
    <w:rsid w:val="004749B4"/>
    <w:rsid w:val="00494130"/>
    <w:rsid w:val="004F3523"/>
    <w:rsid w:val="004F56FC"/>
    <w:rsid w:val="00507795"/>
    <w:rsid w:val="00583AB7"/>
    <w:rsid w:val="005973B9"/>
    <w:rsid w:val="005B3A56"/>
    <w:rsid w:val="006060CE"/>
    <w:rsid w:val="0063497F"/>
    <w:rsid w:val="00661BC8"/>
    <w:rsid w:val="00683780"/>
    <w:rsid w:val="0068782D"/>
    <w:rsid w:val="006F3449"/>
    <w:rsid w:val="00721F48"/>
    <w:rsid w:val="007831A0"/>
    <w:rsid w:val="007B0CB7"/>
    <w:rsid w:val="007D1546"/>
    <w:rsid w:val="007E10A3"/>
    <w:rsid w:val="00803448"/>
    <w:rsid w:val="00873DF0"/>
    <w:rsid w:val="00875604"/>
    <w:rsid w:val="008756E6"/>
    <w:rsid w:val="00876EC4"/>
    <w:rsid w:val="008A472F"/>
    <w:rsid w:val="008C4830"/>
    <w:rsid w:val="008F7254"/>
    <w:rsid w:val="009529B7"/>
    <w:rsid w:val="009A5B20"/>
    <w:rsid w:val="009B2D44"/>
    <w:rsid w:val="009E3B34"/>
    <w:rsid w:val="00A07E82"/>
    <w:rsid w:val="00A12D79"/>
    <w:rsid w:val="00A46180"/>
    <w:rsid w:val="00A9710C"/>
    <w:rsid w:val="00AA24FF"/>
    <w:rsid w:val="00AA4EA1"/>
    <w:rsid w:val="00AB058B"/>
    <w:rsid w:val="00AE3E37"/>
    <w:rsid w:val="00B20CE4"/>
    <w:rsid w:val="00B21A57"/>
    <w:rsid w:val="00B241B9"/>
    <w:rsid w:val="00B64512"/>
    <w:rsid w:val="00BC177F"/>
    <w:rsid w:val="00BD479D"/>
    <w:rsid w:val="00BD5356"/>
    <w:rsid w:val="00C2232F"/>
    <w:rsid w:val="00C33602"/>
    <w:rsid w:val="00C67DED"/>
    <w:rsid w:val="00C83DC3"/>
    <w:rsid w:val="00CD6F55"/>
    <w:rsid w:val="00CE7970"/>
    <w:rsid w:val="00D011CC"/>
    <w:rsid w:val="00D62CFA"/>
    <w:rsid w:val="00DD431E"/>
    <w:rsid w:val="00DE3104"/>
    <w:rsid w:val="00E15222"/>
    <w:rsid w:val="00E4061F"/>
    <w:rsid w:val="00E56996"/>
    <w:rsid w:val="00EA01DB"/>
    <w:rsid w:val="00ED46B5"/>
    <w:rsid w:val="00EE4FFE"/>
    <w:rsid w:val="00F7045F"/>
    <w:rsid w:val="00F72EEA"/>
    <w:rsid w:val="00F770B5"/>
    <w:rsid w:val="00F84CAE"/>
    <w:rsid w:val="00F858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586656-0AEB-40DD-8846-7CF6107D3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1518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1518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4074819">
      <w:bodyDiv w:val="1"/>
      <w:marLeft w:val="0"/>
      <w:marRight w:val="0"/>
      <w:marTop w:val="0"/>
      <w:marBottom w:val="0"/>
      <w:divBdr>
        <w:top w:val="none" w:sz="0" w:space="0" w:color="auto"/>
        <w:left w:val="none" w:sz="0" w:space="0" w:color="auto"/>
        <w:bottom w:val="none" w:sz="0" w:space="0" w:color="auto"/>
        <w:right w:val="none" w:sz="0" w:space="0" w:color="auto"/>
      </w:divBdr>
    </w:div>
    <w:div w:id="1017081189">
      <w:bodyDiv w:val="1"/>
      <w:marLeft w:val="0"/>
      <w:marRight w:val="0"/>
      <w:marTop w:val="0"/>
      <w:marBottom w:val="0"/>
      <w:divBdr>
        <w:top w:val="none" w:sz="0" w:space="0" w:color="auto"/>
        <w:left w:val="none" w:sz="0" w:space="0" w:color="auto"/>
        <w:bottom w:val="none" w:sz="0" w:space="0" w:color="auto"/>
        <w:right w:val="none" w:sz="0" w:space="0" w:color="auto"/>
      </w:divBdr>
      <w:divsChild>
        <w:div w:id="155419078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asleem.zafar@ku.edu.kw"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Zafar</cp:lastModifiedBy>
  <cp:revision>2</cp:revision>
  <dcterms:created xsi:type="dcterms:W3CDTF">2019-10-20T19:44:00Z</dcterms:created>
  <dcterms:modified xsi:type="dcterms:W3CDTF">2019-10-20T19:44:00Z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