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95AC6" w14:textId="77777777" w:rsidR="00CF123A" w:rsidRPr="00CF123A" w:rsidRDefault="00CF123A" w:rsidP="00CF123A">
      <w:pPr>
        <w:widowControl/>
        <w:snapToGrid w:val="0"/>
        <w:jc w:val="both"/>
        <w:rPr>
          <w:rFonts w:asciiTheme="majorHAnsi" w:hAnsiTheme="majorHAnsi"/>
          <w:b/>
          <w:bCs/>
          <w:sz w:val="36"/>
          <w:szCs w:val="36"/>
        </w:rPr>
      </w:pPr>
      <w:r w:rsidRPr="00CF123A">
        <w:rPr>
          <w:rFonts w:asciiTheme="majorHAnsi" w:hAnsiTheme="majorHAnsi"/>
          <w:b/>
          <w:bCs/>
          <w:sz w:val="36"/>
          <w:szCs w:val="36"/>
        </w:rPr>
        <w:t xml:space="preserve">Of pregnancies complicated by small for gestational age babies at term, what proportions have placental findings with implications for future pregnancies or neonatal </w:t>
      </w:r>
      <w:proofErr w:type="gramStart"/>
      <w:r w:rsidRPr="00CF123A">
        <w:rPr>
          <w:rFonts w:asciiTheme="majorHAnsi" w:hAnsiTheme="majorHAnsi"/>
          <w:b/>
          <w:bCs/>
          <w:sz w:val="36"/>
          <w:szCs w:val="36"/>
        </w:rPr>
        <w:t>outcomes</w:t>
      </w:r>
      <w:proofErr w:type="gramEnd"/>
    </w:p>
    <w:p w14:paraId="3B1C23D7" w14:textId="77777777" w:rsidR="00CF123A" w:rsidRPr="00CF123A" w:rsidRDefault="00CF123A" w:rsidP="00CF123A">
      <w:pPr>
        <w:widowControl/>
        <w:snapToGrid w:val="0"/>
        <w:jc w:val="both"/>
        <w:rPr>
          <w:rFonts w:ascii="Times New Roman" w:hAnsi="Times New Roman"/>
          <w:b/>
          <w:bCs/>
          <w:sz w:val="36"/>
          <w:szCs w:val="36"/>
        </w:rPr>
      </w:pPr>
    </w:p>
    <w:p w14:paraId="4197B4A4" w14:textId="77777777" w:rsidR="00CF123A" w:rsidRDefault="00CF123A" w:rsidP="00CF123A">
      <w:pPr>
        <w:widowControl/>
        <w:snapToGrid w:val="0"/>
        <w:jc w:val="both"/>
        <w:rPr>
          <w:rFonts w:asciiTheme="majorHAnsi" w:hAnsiTheme="majorHAnsi"/>
          <w:color w:val="002060"/>
          <w:szCs w:val="24"/>
          <w:vertAlign w:val="subscript"/>
        </w:rPr>
      </w:pPr>
      <w:r>
        <w:rPr>
          <w:rFonts w:asciiTheme="majorHAnsi" w:hAnsiTheme="majorHAnsi"/>
          <w:color w:val="002060"/>
          <w:szCs w:val="24"/>
        </w:rPr>
        <w:t xml:space="preserve">Roberto Orefice </w:t>
      </w:r>
      <w:r w:rsidRPr="00E86AC0">
        <w:rPr>
          <w:rFonts w:asciiTheme="majorHAnsi" w:hAnsiTheme="majorHAnsi"/>
          <w:color w:val="002060"/>
          <w:szCs w:val="24"/>
          <w:vertAlign w:val="subscript"/>
        </w:rPr>
        <w:t>1</w:t>
      </w:r>
      <w:r>
        <w:rPr>
          <w:rFonts w:asciiTheme="majorHAnsi" w:hAnsiTheme="majorHAnsi"/>
          <w:color w:val="002060"/>
          <w:szCs w:val="24"/>
        </w:rPr>
        <w:t xml:space="preserve">, Alison Kent </w:t>
      </w:r>
      <w:r w:rsidRPr="00E86AC0">
        <w:rPr>
          <w:rFonts w:asciiTheme="majorHAnsi" w:hAnsiTheme="majorHAnsi"/>
          <w:color w:val="002060"/>
          <w:szCs w:val="24"/>
          <w:vertAlign w:val="subscript"/>
        </w:rPr>
        <w:t>2</w:t>
      </w:r>
      <w:r>
        <w:rPr>
          <w:rFonts w:asciiTheme="majorHAnsi" w:hAnsiTheme="majorHAnsi"/>
          <w:color w:val="002060"/>
          <w:szCs w:val="24"/>
        </w:rPr>
        <w:t xml:space="preserve">, Farah </w:t>
      </w:r>
      <w:proofErr w:type="spellStart"/>
      <w:r>
        <w:rPr>
          <w:rFonts w:asciiTheme="majorHAnsi" w:hAnsiTheme="majorHAnsi"/>
          <w:color w:val="002060"/>
          <w:szCs w:val="24"/>
        </w:rPr>
        <w:t>Sethna</w:t>
      </w:r>
      <w:proofErr w:type="spellEnd"/>
      <w:r>
        <w:rPr>
          <w:rFonts w:asciiTheme="majorHAnsi" w:hAnsiTheme="majorHAnsi"/>
          <w:color w:val="002060"/>
          <w:szCs w:val="24"/>
        </w:rPr>
        <w:t xml:space="preserve"> </w:t>
      </w:r>
      <w:r w:rsidRPr="00E86AC0">
        <w:rPr>
          <w:rFonts w:asciiTheme="majorHAnsi" w:hAnsiTheme="majorHAnsi"/>
          <w:color w:val="002060"/>
          <w:szCs w:val="24"/>
          <w:vertAlign w:val="subscript"/>
        </w:rPr>
        <w:t>3</w:t>
      </w:r>
      <w:r>
        <w:rPr>
          <w:rFonts w:asciiTheme="majorHAnsi" w:hAnsiTheme="majorHAnsi"/>
          <w:color w:val="002060"/>
          <w:szCs w:val="24"/>
        </w:rPr>
        <w:t xml:space="preserve">, Jane </w:t>
      </w:r>
      <w:proofErr w:type="spellStart"/>
      <w:r>
        <w:rPr>
          <w:rFonts w:asciiTheme="majorHAnsi" w:hAnsiTheme="majorHAnsi"/>
          <w:color w:val="002060"/>
          <w:szCs w:val="24"/>
        </w:rPr>
        <w:t>Dahlstrom</w:t>
      </w:r>
      <w:proofErr w:type="spellEnd"/>
      <w:r>
        <w:rPr>
          <w:rFonts w:asciiTheme="majorHAnsi" w:hAnsiTheme="majorHAnsi"/>
          <w:color w:val="002060"/>
          <w:szCs w:val="24"/>
        </w:rPr>
        <w:t xml:space="preserve"> </w:t>
      </w:r>
      <w:r w:rsidRPr="00E86AC0">
        <w:rPr>
          <w:rFonts w:asciiTheme="majorHAnsi" w:hAnsiTheme="majorHAnsi"/>
          <w:color w:val="002060"/>
          <w:szCs w:val="24"/>
          <w:vertAlign w:val="subscript"/>
        </w:rPr>
        <w:t>4</w:t>
      </w:r>
    </w:p>
    <w:p w14:paraId="73F9C0A1" w14:textId="77777777" w:rsidR="00CF123A" w:rsidRPr="007B0FEA" w:rsidRDefault="00CF123A" w:rsidP="00CF123A">
      <w:pPr>
        <w:widowControl/>
        <w:snapToGrid w:val="0"/>
        <w:jc w:val="both"/>
        <w:rPr>
          <w:rFonts w:asciiTheme="majorHAnsi" w:hAnsiTheme="majorHAnsi"/>
          <w:color w:val="002060"/>
          <w:szCs w:val="24"/>
        </w:rPr>
      </w:pPr>
    </w:p>
    <w:p w14:paraId="4F5FE483" w14:textId="77777777" w:rsidR="00CF123A" w:rsidRDefault="00CF123A" w:rsidP="00CF123A">
      <w:pPr>
        <w:widowControl/>
        <w:snapToGrid w:val="0"/>
        <w:jc w:val="both"/>
        <w:rPr>
          <w:rFonts w:asciiTheme="majorHAnsi" w:hAnsiTheme="majorHAnsi"/>
          <w:i/>
          <w:color w:val="002060"/>
          <w:szCs w:val="24"/>
        </w:rPr>
      </w:pPr>
      <w:r>
        <w:rPr>
          <w:rFonts w:asciiTheme="majorHAnsi" w:hAnsiTheme="majorHAnsi"/>
          <w:i/>
          <w:color w:val="002060"/>
          <w:szCs w:val="24"/>
        </w:rPr>
        <w:t xml:space="preserve">1 Fetal Medicine Unit, </w:t>
      </w:r>
      <w:proofErr w:type="spellStart"/>
      <w:r>
        <w:rPr>
          <w:rFonts w:asciiTheme="majorHAnsi" w:hAnsiTheme="majorHAnsi"/>
          <w:i/>
          <w:color w:val="002060"/>
          <w:szCs w:val="24"/>
        </w:rPr>
        <w:t>Womens</w:t>
      </w:r>
      <w:proofErr w:type="spellEnd"/>
      <w:r>
        <w:rPr>
          <w:rFonts w:asciiTheme="majorHAnsi" w:hAnsiTheme="majorHAnsi"/>
          <w:i/>
          <w:color w:val="002060"/>
          <w:szCs w:val="24"/>
        </w:rPr>
        <w:t xml:space="preserve"> and </w:t>
      </w:r>
      <w:proofErr w:type="spellStart"/>
      <w:r>
        <w:rPr>
          <w:rFonts w:asciiTheme="majorHAnsi" w:hAnsiTheme="majorHAnsi"/>
          <w:i/>
          <w:color w:val="002060"/>
          <w:szCs w:val="24"/>
        </w:rPr>
        <w:t>Childrens</w:t>
      </w:r>
      <w:proofErr w:type="spellEnd"/>
      <w:r>
        <w:rPr>
          <w:rFonts w:asciiTheme="majorHAnsi" w:hAnsiTheme="majorHAnsi"/>
          <w:i/>
          <w:color w:val="002060"/>
          <w:szCs w:val="24"/>
        </w:rPr>
        <w:t xml:space="preserve"> Hospital, Canberra, Australia</w:t>
      </w:r>
    </w:p>
    <w:p w14:paraId="2CCE5187" w14:textId="77777777" w:rsidR="00CF123A" w:rsidRDefault="00CF123A" w:rsidP="00CF123A">
      <w:pPr>
        <w:widowControl/>
        <w:snapToGrid w:val="0"/>
        <w:jc w:val="both"/>
        <w:rPr>
          <w:rFonts w:asciiTheme="majorHAnsi" w:hAnsiTheme="majorHAnsi"/>
          <w:i/>
          <w:color w:val="002060"/>
          <w:szCs w:val="24"/>
        </w:rPr>
      </w:pPr>
      <w:r>
        <w:rPr>
          <w:rFonts w:asciiTheme="majorHAnsi" w:hAnsiTheme="majorHAnsi"/>
          <w:i/>
          <w:color w:val="002060"/>
          <w:szCs w:val="24"/>
        </w:rPr>
        <w:t xml:space="preserve">2 </w:t>
      </w:r>
      <w:proofErr w:type="gramStart"/>
      <w:r>
        <w:rPr>
          <w:rFonts w:asciiTheme="majorHAnsi" w:hAnsiTheme="majorHAnsi"/>
          <w:i/>
          <w:color w:val="002060"/>
          <w:szCs w:val="24"/>
        </w:rPr>
        <w:t>Department</w:t>
      </w:r>
      <w:proofErr w:type="gramEnd"/>
      <w:r>
        <w:rPr>
          <w:rFonts w:asciiTheme="majorHAnsi" w:hAnsiTheme="majorHAnsi"/>
          <w:i/>
          <w:color w:val="002060"/>
          <w:szCs w:val="24"/>
        </w:rPr>
        <w:t xml:space="preserve"> of Neonatology, The Canberra Hospital, Canberra, Australia</w:t>
      </w:r>
    </w:p>
    <w:p w14:paraId="021A7D04" w14:textId="77777777" w:rsidR="00CF123A" w:rsidRDefault="00CF123A" w:rsidP="00CF123A">
      <w:pPr>
        <w:widowControl/>
        <w:snapToGrid w:val="0"/>
        <w:jc w:val="both"/>
        <w:rPr>
          <w:rFonts w:asciiTheme="majorHAnsi" w:hAnsiTheme="majorHAnsi"/>
          <w:i/>
          <w:color w:val="002060"/>
          <w:szCs w:val="24"/>
        </w:rPr>
      </w:pPr>
      <w:r>
        <w:rPr>
          <w:rFonts w:asciiTheme="majorHAnsi" w:hAnsiTheme="majorHAnsi"/>
          <w:i/>
          <w:color w:val="002060"/>
          <w:szCs w:val="24"/>
        </w:rPr>
        <w:t xml:space="preserve">3 Fetal Medicine </w:t>
      </w:r>
      <w:proofErr w:type="gramStart"/>
      <w:r>
        <w:rPr>
          <w:rFonts w:asciiTheme="majorHAnsi" w:hAnsiTheme="majorHAnsi"/>
          <w:i/>
          <w:color w:val="002060"/>
          <w:szCs w:val="24"/>
        </w:rPr>
        <w:t>Unit</w:t>
      </w:r>
      <w:proofErr w:type="gramEnd"/>
      <w:r>
        <w:rPr>
          <w:rFonts w:asciiTheme="majorHAnsi" w:hAnsiTheme="majorHAnsi"/>
          <w:i/>
          <w:color w:val="002060"/>
          <w:szCs w:val="24"/>
        </w:rPr>
        <w:t xml:space="preserve">, </w:t>
      </w:r>
      <w:proofErr w:type="spellStart"/>
      <w:r>
        <w:rPr>
          <w:rFonts w:asciiTheme="majorHAnsi" w:hAnsiTheme="majorHAnsi"/>
          <w:i/>
          <w:color w:val="002060"/>
          <w:szCs w:val="24"/>
        </w:rPr>
        <w:t>Womens</w:t>
      </w:r>
      <w:proofErr w:type="spellEnd"/>
      <w:r>
        <w:rPr>
          <w:rFonts w:asciiTheme="majorHAnsi" w:hAnsiTheme="majorHAnsi"/>
          <w:i/>
          <w:color w:val="002060"/>
          <w:szCs w:val="24"/>
        </w:rPr>
        <w:t xml:space="preserve"> and </w:t>
      </w:r>
      <w:proofErr w:type="spellStart"/>
      <w:r>
        <w:rPr>
          <w:rFonts w:asciiTheme="majorHAnsi" w:hAnsiTheme="majorHAnsi"/>
          <w:i/>
          <w:color w:val="002060"/>
          <w:szCs w:val="24"/>
        </w:rPr>
        <w:t>Childrens</w:t>
      </w:r>
      <w:proofErr w:type="spellEnd"/>
      <w:r>
        <w:rPr>
          <w:rFonts w:asciiTheme="majorHAnsi" w:hAnsiTheme="majorHAnsi"/>
          <w:i/>
          <w:color w:val="002060"/>
          <w:szCs w:val="24"/>
        </w:rPr>
        <w:t xml:space="preserve"> Hospital, </w:t>
      </w:r>
      <w:proofErr w:type="spellStart"/>
      <w:r>
        <w:rPr>
          <w:rFonts w:asciiTheme="majorHAnsi" w:hAnsiTheme="majorHAnsi"/>
          <w:i/>
          <w:color w:val="002060"/>
          <w:szCs w:val="24"/>
        </w:rPr>
        <w:t>Canbeera</w:t>
      </w:r>
      <w:proofErr w:type="spellEnd"/>
      <w:r>
        <w:rPr>
          <w:rFonts w:asciiTheme="majorHAnsi" w:hAnsiTheme="majorHAnsi"/>
          <w:i/>
          <w:color w:val="002060"/>
          <w:szCs w:val="24"/>
        </w:rPr>
        <w:t>, Australia</w:t>
      </w:r>
    </w:p>
    <w:p w14:paraId="4D3AB52E" w14:textId="77777777" w:rsidR="00CF123A" w:rsidRDefault="00CF123A" w:rsidP="00CF123A">
      <w:pPr>
        <w:widowControl/>
        <w:snapToGrid w:val="0"/>
        <w:jc w:val="both"/>
        <w:rPr>
          <w:rFonts w:asciiTheme="majorHAnsi" w:hAnsiTheme="majorHAnsi"/>
          <w:i/>
          <w:color w:val="002060"/>
          <w:szCs w:val="24"/>
        </w:rPr>
      </w:pPr>
      <w:proofErr w:type="gramStart"/>
      <w:r>
        <w:rPr>
          <w:rFonts w:asciiTheme="majorHAnsi" w:hAnsiTheme="majorHAnsi"/>
          <w:i/>
          <w:color w:val="002060"/>
          <w:szCs w:val="24"/>
        </w:rPr>
        <w:t>4 Department of Anatomical Pathology</w:t>
      </w:r>
      <w:proofErr w:type="gramEnd"/>
      <w:r>
        <w:rPr>
          <w:rFonts w:asciiTheme="majorHAnsi" w:hAnsiTheme="majorHAnsi"/>
          <w:i/>
          <w:color w:val="002060"/>
          <w:szCs w:val="24"/>
        </w:rPr>
        <w:t>, The Canberra Hospital, Australia</w:t>
      </w:r>
    </w:p>
    <w:p w14:paraId="60457E6D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65100ED6" w14:textId="77777777" w:rsidR="00AE3E37" w:rsidRDefault="00AE3E37">
      <w:pPr>
        <w:rPr>
          <w:rFonts w:ascii="Arial"/>
          <w:sz w:val="21"/>
        </w:rPr>
        <w:sectPr w:rsidR="00AE3E37" w:rsidSect="001F62FF">
          <w:headerReference w:type="even" r:id="rId8"/>
          <w:headerReference w:type="default" r:id="rId9"/>
          <w:footerReference w:type="default" r:id="rId10"/>
          <w:headerReference w:type="first" r:id="rId11"/>
          <w:type w:val="continuous"/>
          <w:pgSz w:w="11910" w:h="16840"/>
          <w:pgMar w:top="1740" w:right="600" w:bottom="840" w:left="620" w:header="624" w:footer="624" w:gutter="0"/>
          <w:cols w:space="720"/>
          <w:docGrid w:linePitch="299"/>
        </w:sectPr>
      </w:pPr>
    </w:p>
    <w:p w14:paraId="34160F85" w14:textId="77777777"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4D5E2ABF" w14:textId="77777777" w:rsidR="00CF123A" w:rsidRDefault="00CF123A">
      <w:pPr>
        <w:pStyle w:val="Heading3"/>
        <w:spacing w:before="147"/>
        <w:jc w:val="both"/>
      </w:pPr>
    </w:p>
    <w:p w14:paraId="309ABB87" w14:textId="77777777" w:rsidR="00CF123A" w:rsidRDefault="00CF123A" w:rsidP="00CF123A">
      <w:pPr>
        <w:autoSpaceDE w:val="0"/>
        <w:autoSpaceDN w:val="0"/>
        <w:adjustRightInd w:val="0"/>
        <w:rPr>
          <w:rFonts w:ascii="Times New Roman" w:hAnsi="Times New Roman"/>
        </w:rPr>
      </w:pPr>
      <w:r w:rsidRPr="007B0FEA">
        <w:rPr>
          <w:rFonts w:asciiTheme="majorHAnsi" w:hAnsiTheme="majorHAnsi"/>
          <w:b/>
          <w:szCs w:val="24"/>
        </w:rPr>
        <w:t>Aim/ Objective:</w:t>
      </w:r>
      <w:r w:rsidRPr="007B0FEA">
        <w:rPr>
          <w:rFonts w:asciiTheme="majorHAnsi" w:hAnsiTheme="majorHAnsi"/>
          <w:szCs w:val="24"/>
        </w:rPr>
        <w:t xml:space="preserve"> </w:t>
      </w:r>
      <w:r w:rsidRPr="001E799C">
        <w:rPr>
          <w:rFonts w:ascii="Times New Roman" w:hAnsi="Times New Roman"/>
          <w:b/>
          <w:bCs/>
        </w:rPr>
        <w:t>Background:</w:t>
      </w:r>
      <w:r w:rsidRPr="001E79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Small for gestational age (SGA) is a term to define any baby born with a </w:t>
      </w:r>
      <w:proofErr w:type="spellStart"/>
      <w:r>
        <w:rPr>
          <w:rFonts w:ascii="Times New Roman" w:hAnsi="Times New Roman"/>
        </w:rPr>
        <w:t>birthweight</w:t>
      </w:r>
      <w:proofErr w:type="spellEnd"/>
      <w:r>
        <w:rPr>
          <w:rFonts w:ascii="Times New Roman" w:hAnsi="Times New Roman"/>
        </w:rPr>
        <w:t xml:space="preserve"> &lt; 10</w:t>
      </w:r>
      <w:r w:rsidRPr="00D47EA2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centile. SGA </w:t>
      </w:r>
      <w:r w:rsidRPr="001E799C">
        <w:rPr>
          <w:rFonts w:ascii="Times New Roman" w:hAnsi="Times New Roman"/>
        </w:rPr>
        <w:t>can be associated with a number of placental pathology findings</w:t>
      </w:r>
      <w:r>
        <w:rPr>
          <w:rFonts w:ascii="Times New Roman" w:hAnsi="Times New Roman"/>
        </w:rPr>
        <w:t>,</w:t>
      </w:r>
      <w:r w:rsidRPr="001E799C">
        <w:rPr>
          <w:rFonts w:ascii="Times New Roman" w:hAnsi="Times New Roman"/>
        </w:rPr>
        <w:t xml:space="preserve"> which may influence maternal </w:t>
      </w:r>
      <w:r>
        <w:rPr>
          <w:rFonts w:ascii="Times New Roman" w:hAnsi="Times New Roman"/>
        </w:rPr>
        <w:t>outcomes</w:t>
      </w:r>
      <w:r w:rsidRPr="001E799C">
        <w:rPr>
          <w:rFonts w:ascii="Times New Roman" w:hAnsi="Times New Roman"/>
        </w:rPr>
        <w:t xml:space="preserve">, neonatal neurodevelopment and future pregnancies. </w:t>
      </w:r>
    </w:p>
    <w:p w14:paraId="3B18F13A" w14:textId="77777777" w:rsidR="00CF123A" w:rsidRPr="003D3255" w:rsidRDefault="00CF123A" w:rsidP="00CF123A">
      <w:pPr>
        <w:widowControl/>
        <w:snapToGrid w:val="0"/>
        <w:spacing w:after="240"/>
        <w:jc w:val="both"/>
        <w:rPr>
          <w:rFonts w:asciiTheme="majorHAnsi" w:hAnsiTheme="majorHAnsi"/>
          <w:b/>
          <w:color w:val="002060"/>
          <w:szCs w:val="24"/>
        </w:rPr>
      </w:pPr>
      <w:r w:rsidRPr="00AA3AD0">
        <w:rPr>
          <w:rFonts w:ascii="Times New Roman" w:hAnsi="Times New Roman"/>
          <w:b/>
        </w:rPr>
        <w:t>Aims:</w:t>
      </w:r>
      <w:r>
        <w:rPr>
          <w:rFonts w:ascii="Times New Roman" w:hAnsi="Times New Roman"/>
        </w:rPr>
        <w:t xml:space="preserve"> T</w:t>
      </w:r>
      <w:r w:rsidRPr="001E799C">
        <w:rPr>
          <w:rFonts w:ascii="Times New Roman" w:hAnsi="Times New Roman"/>
        </w:rPr>
        <w:t>o identify the proportion of term pregnancies complicated by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SGA</w:t>
      </w:r>
      <w:r w:rsidRPr="001E79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1E799C">
        <w:rPr>
          <w:rFonts w:ascii="Times New Roman" w:hAnsi="Times New Roman"/>
        </w:rPr>
        <w:t>with</w:t>
      </w:r>
      <w:proofErr w:type="gramEnd"/>
      <w:r w:rsidRPr="001E799C">
        <w:rPr>
          <w:rFonts w:ascii="Times New Roman" w:hAnsi="Times New Roman"/>
        </w:rPr>
        <w:t xml:space="preserve"> placental findings that may have implications for future pregnancies or neonatal outcomes</w:t>
      </w:r>
    </w:p>
    <w:p w14:paraId="46EB06FA" w14:textId="77777777" w:rsidR="00CF123A" w:rsidRDefault="00CF123A" w:rsidP="00CF123A">
      <w:pPr>
        <w:widowControl/>
        <w:snapToGrid w:val="0"/>
        <w:spacing w:after="240"/>
        <w:jc w:val="both"/>
        <w:rPr>
          <w:rFonts w:ascii="Times New Roman" w:hAnsi="Times New Roman"/>
        </w:rPr>
      </w:pPr>
      <w:r w:rsidRPr="007B0FEA">
        <w:rPr>
          <w:rFonts w:asciiTheme="majorHAnsi" w:hAnsiTheme="majorHAnsi"/>
          <w:b/>
          <w:szCs w:val="24"/>
        </w:rPr>
        <w:t>Method:</w:t>
      </w:r>
      <w:r w:rsidRPr="007B0FEA">
        <w:rPr>
          <w:rFonts w:asciiTheme="majorHAnsi" w:hAnsiTheme="majorHAnsi"/>
          <w:szCs w:val="24"/>
        </w:rPr>
        <w:t xml:space="preserve"> </w:t>
      </w:r>
      <w:r w:rsidRPr="001E799C">
        <w:rPr>
          <w:rFonts w:ascii="Times New Roman" w:hAnsi="Times New Roman"/>
        </w:rPr>
        <w:t xml:space="preserve">A retrospective review between 2011-2015 of </w:t>
      </w:r>
      <w:r>
        <w:rPr>
          <w:rFonts w:ascii="Times New Roman" w:hAnsi="Times New Roman"/>
        </w:rPr>
        <w:t xml:space="preserve">babies </w:t>
      </w:r>
      <w:r w:rsidRPr="001E799C">
        <w:rPr>
          <w:rFonts w:ascii="Times New Roman" w:hAnsi="Times New Roman"/>
        </w:rPr>
        <w:t xml:space="preserve">and placentas born at term with </w:t>
      </w:r>
      <w:proofErr w:type="gramStart"/>
      <w:r>
        <w:rPr>
          <w:rFonts w:ascii="Times New Roman" w:hAnsi="Times New Roman"/>
        </w:rPr>
        <w:t>SGA</w:t>
      </w:r>
      <w:r w:rsidRPr="001E79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proofErr w:type="spellStart"/>
      <w:r w:rsidRPr="001E799C">
        <w:rPr>
          <w:rFonts w:ascii="Times New Roman" w:hAnsi="Times New Roman"/>
        </w:rPr>
        <w:t>Histopathological</w:t>
      </w:r>
      <w:proofErr w:type="spellEnd"/>
      <w:proofErr w:type="gramEnd"/>
      <w:r w:rsidRPr="001E799C">
        <w:rPr>
          <w:rFonts w:ascii="Times New Roman" w:hAnsi="Times New Roman"/>
        </w:rPr>
        <w:t xml:space="preserve"> findings were </w:t>
      </w:r>
      <w:proofErr w:type="spellStart"/>
      <w:r w:rsidRPr="001E799C">
        <w:rPr>
          <w:rFonts w:ascii="Times New Roman" w:hAnsi="Times New Roman"/>
        </w:rPr>
        <w:t>categorised</w:t>
      </w:r>
      <w:proofErr w:type="spellEnd"/>
      <w:r w:rsidRPr="001E799C">
        <w:rPr>
          <w:rFonts w:ascii="Times New Roman" w:hAnsi="Times New Roman"/>
        </w:rPr>
        <w:t xml:space="preserve"> as to whether they had a high recurrence rate and where long term neurodevelopmental outcome may </w:t>
      </w:r>
      <w:r>
        <w:rPr>
          <w:rFonts w:ascii="Times New Roman" w:hAnsi="Times New Roman"/>
        </w:rPr>
        <w:t>e</w:t>
      </w:r>
      <w:r w:rsidRPr="001E799C">
        <w:rPr>
          <w:rFonts w:ascii="Times New Roman" w:hAnsi="Times New Roman"/>
        </w:rPr>
        <w:t>ffec</w:t>
      </w:r>
      <w:r>
        <w:rPr>
          <w:rFonts w:ascii="Times New Roman" w:hAnsi="Times New Roman"/>
        </w:rPr>
        <w:t>t</w:t>
      </w:r>
      <w:r w:rsidRPr="001E799C">
        <w:rPr>
          <w:rFonts w:ascii="Times New Roman" w:hAnsi="Times New Roman"/>
        </w:rPr>
        <w:t xml:space="preserve"> the neonate</w:t>
      </w:r>
      <w:r>
        <w:rPr>
          <w:rFonts w:ascii="Times New Roman" w:hAnsi="Times New Roman"/>
        </w:rPr>
        <w:t>.</w:t>
      </w:r>
      <w:r w:rsidRPr="001E799C">
        <w:rPr>
          <w:rFonts w:ascii="Times New Roman" w:hAnsi="Times New Roman"/>
        </w:rPr>
        <w:t xml:space="preserve"> </w:t>
      </w:r>
    </w:p>
    <w:p w14:paraId="4177748B" w14:textId="77777777" w:rsidR="00CF123A" w:rsidRPr="007B0FEA" w:rsidRDefault="00CF123A" w:rsidP="00CF123A">
      <w:pPr>
        <w:widowControl/>
        <w:snapToGrid w:val="0"/>
        <w:spacing w:after="240"/>
        <w:jc w:val="both"/>
        <w:rPr>
          <w:rFonts w:asciiTheme="majorHAnsi" w:hAnsiTheme="majorHAnsi"/>
          <w:szCs w:val="24"/>
        </w:rPr>
      </w:pPr>
      <w:r w:rsidRPr="007B0FEA">
        <w:rPr>
          <w:rFonts w:asciiTheme="majorHAnsi" w:hAnsiTheme="majorHAnsi"/>
          <w:b/>
          <w:szCs w:val="24"/>
        </w:rPr>
        <w:t>Result:</w:t>
      </w:r>
      <w:r w:rsidRPr="007B0FEA">
        <w:rPr>
          <w:rFonts w:asciiTheme="majorHAnsi" w:hAnsiTheme="majorHAnsi"/>
          <w:szCs w:val="24"/>
        </w:rPr>
        <w:t xml:space="preserve"> </w:t>
      </w:r>
      <w:r>
        <w:rPr>
          <w:rFonts w:ascii="Times New Roman" w:hAnsi="Times New Roman"/>
        </w:rPr>
        <w:t>698</w:t>
      </w:r>
      <w:r w:rsidRPr="001E799C">
        <w:rPr>
          <w:rFonts w:ascii="Times New Roman" w:hAnsi="Times New Roman"/>
        </w:rPr>
        <w:t xml:space="preserve"> babies were identified as </w:t>
      </w:r>
      <w:r>
        <w:rPr>
          <w:rFonts w:ascii="Times New Roman" w:hAnsi="Times New Roman"/>
        </w:rPr>
        <w:t>SGA.</w:t>
      </w:r>
      <w:r w:rsidRPr="001E79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Only </w:t>
      </w:r>
      <w:r w:rsidRPr="001E799C">
        <w:rPr>
          <w:rFonts w:ascii="Times New Roman" w:hAnsi="Times New Roman"/>
        </w:rPr>
        <w:t>3</w:t>
      </w:r>
      <w:r>
        <w:rPr>
          <w:rFonts w:ascii="Times New Roman" w:hAnsi="Times New Roman"/>
        </w:rPr>
        <w:t>35</w:t>
      </w:r>
      <w:r w:rsidRPr="001E799C">
        <w:rPr>
          <w:rFonts w:ascii="Times New Roman" w:hAnsi="Times New Roman"/>
        </w:rPr>
        <w:t xml:space="preserve"> (4</w:t>
      </w:r>
      <w:r>
        <w:rPr>
          <w:rFonts w:ascii="Times New Roman" w:hAnsi="Times New Roman"/>
        </w:rPr>
        <w:t>7.8</w:t>
      </w:r>
      <w:r w:rsidRPr="001E799C">
        <w:rPr>
          <w:rFonts w:ascii="Times New Roman" w:hAnsi="Times New Roman"/>
        </w:rPr>
        <w:t xml:space="preserve">%) placentas were sent for </w:t>
      </w:r>
      <w:proofErr w:type="spellStart"/>
      <w:r w:rsidRPr="001E799C">
        <w:rPr>
          <w:rFonts w:ascii="Times New Roman" w:hAnsi="Times New Roman"/>
        </w:rPr>
        <w:t>histopathological</w:t>
      </w:r>
      <w:proofErr w:type="spellEnd"/>
      <w:r w:rsidRPr="001E799C">
        <w:rPr>
          <w:rFonts w:ascii="Times New Roman" w:hAnsi="Times New Roman"/>
        </w:rPr>
        <w:t xml:space="preserve"> assessment. Of these, 6</w:t>
      </w:r>
      <w:r>
        <w:rPr>
          <w:rFonts w:ascii="Times New Roman" w:hAnsi="Times New Roman"/>
        </w:rPr>
        <w:t>0</w:t>
      </w:r>
      <w:r w:rsidRPr="001E799C">
        <w:rPr>
          <w:rFonts w:ascii="Times New Roman" w:hAnsi="Times New Roman"/>
        </w:rPr>
        <w:t xml:space="preserve"> (17.</w:t>
      </w:r>
      <w:r>
        <w:rPr>
          <w:rFonts w:ascii="Times New Roman" w:hAnsi="Times New Roman"/>
        </w:rPr>
        <w:t>9</w:t>
      </w:r>
      <w:r w:rsidRPr="001E799C">
        <w:rPr>
          <w:rFonts w:ascii="Times New Roman" w:hAnsi="Times New Roman"/>
        </w:rPr>
        <w:t xml:space="preserve">%) had </w:t>
      </w:r>
      <w:proofErr w:type="spellStart"/>
      <w:r w:rsidRPr="001E799C">
        <w:rPr>
          <w:rFonts w:ascii="Times New Roman" w:hAnsi="Times New Roman"/>
        </w:rPr>
        <w:t>histopathological</w:t>
      </w:r>
      <w:proofErr w:type="spellEnd"/>
      <w:r w:rsidRPr="001E799C">
        <w:rPr>
          <w:rFonts w:ascii="Times New Roman" w:hAnsi="Times New Roman"/>
        </w:rPr>
        <w:t xml:space="preserve"> findings </w:t>
      </w:r>
      <w:r>
        <w:rPr>
          <w:rFonts w:ascii="Times New Roman" w:hAnsi="Times New Roman"/>
        </w:rPr>
        <w:t xml:space="preserve">associated </w:t>
      </w:r>
      <w:r w:rsidRPr="001E799C">
        <w:rPr>
          <w:rFonts w:ascii="Times New Roman" w:hAnsi="Times New Roman"/>
        </w:rPr>
        <w:t>with high recurrence rates and 6</w:t>
      </w:r>
      <w:r>
        <w:rPr>
          <w:rFonts w:ascii="Times New Roman" w:hAnsi="Times New Roman"/>
        </w:rPr>
        <w:t>8 (20.2</w:t>
      </w:r>
      <w:r w:rsidRPr="001E799C">
        <w:rPr>
          <w:rFonts w:ascii="Times New Roman" w:hAnsi="Times New Roman"/>
        </w:rPr>
        <w:t xml:space="preserve">%) had findings </w:t>
      </w:r>
      <w:r>
        <w:rPr>
          <w:rFonts w:ascii="Times New Roman" w:hAnsi="Times New Roman"/>
        </w:rPr>
        <w:t>associated with potential adverse neonatal outcomes</w:t>
      </w:r>
      <w:proofErr w:type="gramStart"/>
      <w:r>
        <w:rPr>
          <w:rFonts w:ascii="Times New Roman" w:hAnsi="Times New Roman"/>
        </w:rPr>
        <w:t>.</w:t>
      </w:r>
      <w:r w:rsidRPr="007B0FEA">
        <w:rPr>
          <w:rFonts w:asciiTheme="majorHAnsi" w:hAnsiTheme="majorHAnsi"/>
          <w:color w:val="002060"/>
        </w:rPr>
        <w:t>.</w:t>
      </w:r>
      <w:proofErr w:type="gramEnd"/>
    </w:p>
    <w:p w14:paraId="1EBEDC87" w14:textId="77777777" w:rsidR="00CF123A" w:rsidRPr="007B0FEA" w:rsidRDefault="00CF123A" w:rsidP="00CF123A">
      <w:pPr>
        <w:widowControl/>
        <w:snapToGrid w:val="0"/>
        <w:spacing w:after="240"/>
        <w:jc w:val="both"/>
        <w:rPr>
          <w:rFonts w:asciiTheme="majorHAnsi" w:hAnsiTheme="majorHAnsi"/>
          <w:b/>
          <w:szCs w:val="24"/>
        </w:rPr>
      </w:pPr>
      <w:r w:rsidRPr="007B0FEA">
        <w:rPr>
          <w:rFonts w:asciiTheme="majorHAnsi" w:hAnsiTheme="majorHAnsi"/>
          <w:b/>
          <w:szCs w:val="24"/>
        </w:rPr>
        <w:t xml:space="preserve">Conclusion: </w:t>
      </w:r>
      <w:r w:rsidRPr="001E799C">
        <w:rPr>
          <w:rFonts w:ascii="Times New Roman" w:hAnsi="Times New Roman"/>
        </w:rPr>
        <w:t xml:space="preserve">Of those </w:t>
      </w:r>
      <w:r>
        <w:rPr>
          <w:rFonts w:ascii="Times New Roman" w:hAnsi="Times New Roman"/>
        </w:rPr>
        <w:t xml:space="preserve">placentas </w:t>
      </w:r>
      <w:r w:rsidRPr="001E799C">
        <w:rPr>
          <w:rFonts w:ascii="Times New Roman" w:hAnsi="Times New Roman"/>
        </w:rPr>
        <w:t>sent for examination between 17</w:t>
      </w:r>
      <w:r>
        <w:rPr>
          <w:rFonts w:ascii="Times New Roman" w:hAnsi="Times New Roman"/>
        </w:rPr>
        <w:t>.9-20.2</w:t>
      </w:r>
      <w:r w:rsidRPr="001E799C">
        <w:rPr>
          <w:rFonts w:ascii="Times New Roman" w:hAnsi="Times New Roman"/>
        </w:rPr>
        <w:t>% ha</w:t>
      </w:r>
      <w:r>
        <w:rPr>
          <w:rFonts w:ascii="Times New Roman" w:hAnsi="Times New Roman"/>
        </w:rPr>
        <w:t>d</w:t>
      </w:r>
      <w:r w:rsidRPr="001E799C">
        <w:rPr>
          <w:rFonts w:ascii="Times New Roman" w:hAnsi="Times New Roman"/>
        </w:rPr>
        <w:t xml:space="preserve"> findings </w:t>
      </w:r>
      <w:r>
        <w:rPr>
          <w:rFonts w:ascii="Times New Roman" w:hAnsi="Times New Roman"/>
        </w:rPr>
        <w:t xml:space="preserve">associated </w:t>
      </w:r>
      <w:r w:rsidRPr="001E799C">
        <w:rPr>
          <w:rFonts w:ascii="Times New Roman" w:hAnsi="Times New Roman"/>
        </w:rPr>
        <w:t xml:space="preserve">with either high recurrence rates or findings that may benefit from </w:t>
      </w:r>
      <w:r>
        <w:rPr>
          <w:rFonts w:ascii="Times New Roman" w:hAnsi="Times New Roman"/>
        </w:rPr>
        <w:t xml:space="preserve">neonatal </w:t>
      </w:r>
      <w:r w:rsidRPr="001E799C">
        <w:rPr>
          <w:rFonts w:ascii="Times New Roman" w:hAnsi="Times New Roman"/>
        </w:rPr>
        <w:t>follow up</w:t>
      </w:r>
      <w:r>
        <w:rPr>
          <w:rFonts w:ascii="Times New Roman" w:hAnsi="Times New Roman"/>
        </w:rPr>
        <w:t xml:space="preserve">. </w:t>
      </w:r>
      <w:proofErr w:type="gramStart"/>
      <w:r w:rsidRPr="001E799C">
        <w:rPr>
          <w:rFonts w:ascii="Times New Roman" w:hAnsi="Times New Roman"/>
        </w:rPr>
        <w:t>Under</w:t>
      </w:r>
      <w:proofErr w:type="gramEnd"/>
      <w:r w:rsidRPr="001E799C">
        <w:rPr>
          <w:rFonts w:ascii="Times New Roman" w:hAnsi="Times New Roman"/>
        </w:rPr>
        <w:t xml:space="preserve"> 50% of pregnancies complicated by </w:t>
      </w:r>
      <w:r>
        <w:rPr>
          <w:rFonts w:ascii="Times New Roman" w:hAnsi="Times New Roman"/>
        </w:rPr>
        <w:t xml:space="preserve">SGA </w:t>
      </w:r>
      <w:r w:rsidRPr="001E799C">
        <w:rPr>
          <w:rFonts w:ascii="Times New Roman" w:hAnsi="Times New Roman"/>
        </w:rPr>
        <w:t>at term ha</w:t>
      </w:r>
      <w:r>
        <w:rPr>
          <w:rFonts w:ascii="Times New Roman" w:hAnsi="Times New Roman"/>
        </w:rPr>
        <w:t>d</w:t>
      </w:r>
      <w:r w:rsidRPr="001E799C">
        <w:rPr>
          <w:rFonts w:ascii="Times New Roman" w:hAnsi="Times New Roman"/>
        </w:rPr>
        <w:t xml:space="preserve"> a placental examination</w:t>
      </w:r>
      <w:r>
        <w:rPr>
          <w:rFonts w:ascii="Times New Roman" w:hAnsi="Times New Roman"/>
        </w:rPr>
        <w:t>, resulting</w:t>
      </w:r>
      <w:r w:rsidRPr="001E799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in a significant number of </w:t>
      </w:r>
      <w:r w:rsidRPr="001E799C">
        <w:rPr>
          <w:rFonts w:ascii="Times New Roman" w:hAnsi="Times New Roman"/>
        </w:rPr>
        <w:t xml:space="preserve">potential </w:t>
      </w:r>
      <w:r>
        <w:rPr>
          <w:rFonts w:ascii="Times New Roman" w:hAnsi="Times New Roman"/>
        </w:rPr>
        <w:t>important clinical consequences being</w:t>
      </w:r>
      <w:r w:rsidRPr="001E799C">
        <w:rPr>
          <w:rFonts w:ascii="Times New Roman" w:hAnsi="Times New Roman"/>
        </w:rPr>
        <w:t xml:space="preserve"> missed.</w:t>
      </w:r>
    </w:p>
    <w:p w14:paraId="1B1EED54" w14:textId="77777777" w:rsidR="00AE3E37" w:rsidRPr="00CF123A" w:rsidRDefault="00A9710C" w:rsidP="00CF123A">
      <w:pPr>
        <w:pStyle w:val="Heading3"/>
        <w:spacing w:before="74"/>
      </w:pPr>
      <w:r>
        <w:rPr>
          <w:b w:val="0"/>
        </w:rPr>
        <w:br w:type="column"/>
      </w:r>
    </w:p>
    <w:p w14:paraId="0C837188" w14:textId="77777777" w:rsidR="005973B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9A722DC" w14:textId="77777777" w:rsidR="003A1454" w:rsidRDefault="003A1454" w:rsidP="005973B9">
      <w:pPr>
        <w:spacing w:line="204" w:lineRule="exact"/>
        <w:rPr>
          <w:rFonts w:ascii="Arial"/>
          <w:b/>
          <w:sz w:val="20"/>
        </w:rPr>
      </w:pPr>
    </w:p>
    <w:p w14:paraId="0BF10B18" w14:textId="77777777" w:rsidR="003A1454" w:rsidRPr="005051CB" w:rsidRDefault="003A1454" w:rsidP="003A1454">
      <w:pPr>
        <w:spacing w:line="276" w:lineRule="auto"/>
        <w:rPr>
          <w:rFonts w:asciiTheme="majorHAnsi" w:hAnsiTheme="majorHAnsi" w:cs="Arial"/>
          <w:lang w:val="en" w:eastAsia="en-AU"/>
        </w:rPr>
      </w:pPr>
      <w:proofErr w:type="gramStart"/>
      <w:r w:rsidRPr="005051CB">
        <w:rPr>
          <w:rFonts w:asciiTheme="majorHAnsi" w:hAnsiTheme="majorHAnsi" w:cs="Big Caslon"/>
          <w:b/>
        </w:rPr>
        <w:t>Orefice R</w:t>
      </w:r>
      <w:r w:rsidRPr="005051CB">
        <w:rPr>
          <w:rFonts w:asciiTheme="majorHAnsi" w:hAnsiTheme="majorHAnsi" w:cs="Big Caslon"/>
        </w:rPr>
        <w:t xml:space="preserve">, Kent A, </w:t>
      </w:r>
      <w:proofErr w:type="spellStart"/>
      <w:r w:rsidRPr="005051CB">
        <w:rPr>
          <w:rFonts w:asciiTheme="majorHAnsi" w:hAnsiTheme="majorHAnsi" w:cs="Big Caslon"/>
        </w:rPr>
        <w:t>Dahlstrom</w:t>
      </w:r>
      <w:proofErr w:type="spellEnd"/>
      <w:r w:rsidRPr="005051CB">
        <w:rPr>
          <w:rFonts w:asciiTheme="majorHAnsi" w:hAnsiTheme="majorHAnsi" w:cs="Big Caslon"/>
        </w:rPr>
        <w:t xml:space="preserve"> J, </w:t>
      </w:r>
      <w:proofErr w:type="spellStart"/>
      <w:r w:rsidRPr="005051CB">
        <w:rPr>
          <w:rFonts w:asciiTheme="majorHAnsi" w:hAnsiTheme="majorHAnsi" w:cs="Big Caslon"/>
        </w:rPr>
        <w:t>Sethna</w:t>
      </w:r>
      <w:proofErr w:type="spellEnd"/>
      <w:r w:rsidRPr="005051CB">
        <w:rPr>
          <w:rFonts w:asciiTheme="majorHAnsi" w:hAnsiTheme="majorHAnsi" w:cs="Big Caslon"/>
        </w:rPr>
        <w:t xml:space="preserve"> F.</w:t>
      </w:r>
      <w:proofErr w:type="gramEnd"/>
      <w:r w:rsidRPr="005051CB">
        <w:rPr>
          <w:rFonts w:asciiTheme="majorHAnsi" w:hAnsiTheme="majorHAnsi" w:cs="Big Caslon"/>
        </w:rPr>
        <w:t xml:space="preserve"> </w:t>
      </w:r>
      <w:r w:rsidRPr="005051CB">
        <w:rPr>
          <w:rFonts w:asciiTheme="majorHAnsi" w:hAnsiTheme="majorHAnsi" w:cs="Big Caslon"/>
          <w:bCs/>
        </w:rPr>
        <w:t xml:space="preserve">Of pregnancies complicated by small for gestation babies at term, what proportion </w:t>
      </w:r>
      <w:r w:rsidRPr="005051CB">
        <w:rPr>
          <w:rFonts w:asciiTheme="majorHAnsi" w:hAnsiTheme="majorHAnsi"/>
          <w:bCs/>
        </w:rPr>
        <w:t xml:space="preserve">have placental findings with implications for future pregnancies or the neonate. </w:t>
      </w:r>
      <w:proofErr w:type="gramStart"/>
      <w:r w:rsidRPr="005051CB">
        <w:rPr>
          <w:rFonts w:asciiTheme="majorHAnsi" w:hAnsiTheme="majorHAnsi"/>
          <w:bCs/>
        </w:rPr>
        <w:t>Journal of Maternal-Fetal and Neonatal Medicine.</w:t>
      </w:r>
      <w:proofErr w:type="gramEnd"/>
      <w:r w:rsidRPr="005051CB">
        <w:rPr>
          <w:rFonts w:asciiTheme="majorHAnsi" w:hAnsiTheme="majorHAnsi"/>
          <w:bCs/>
        </w:rPr>
        <w:t xml:space="preserve"> 2019; Feb 3: 1-6 </w:t>
      </w:r>
      <w:hyperlink r:id="rId12" w:history="1">
        <w:r w:rsidRPr="005051CB">
          <w:rPr>
            <w:rFonts w:asciiTheme="majorHAnsi" w:hAnsiTheme="majorHAnsi" w:cs="Arial"/>
            <w:lang w:val="en" w:eastAsia="en-AU"/>
          </w:rPr>
          <w:t>doi.org/10.1080/14767058.2019.1566899</w:t>
        </w:r>
      </w:hyperlink>
      <w:r w:rsidRPr="005051CB">
        <w:rPr>
          <w:rFonts w:asciiTheme="majorHAnsi" w:hAnsiTheme="majorHAnsi" w:cs="Arial"/>
          <w:lang w:val="en" w:eastAsia="en-AU"/>
        </w:rPr>
        <w:t xml:space="preserve"> </w:t>
      </w:r>
    </w:p>
    <w:p w14:paraId="394361E6" w14:textId="77777777" w:rsidR="003A1454" w:rsidRPr="005051CB" w:rsidRDefault="003A1454" w:rsidP="003A1454">
      <w:pPr>
        <w:spacing w:line="276" w:lineRule="auto"/>
        <w:rPr>
          <w:rFonts w:asciiTheme="majorHAnsi" w:hAnsiTheme="majorHAnsi"/>
          <w:bCs/>
        </w:rPr>
      </w:pPr>
    </w:p>
    <w:p w14:paraId="690F87A6" w14:textId="77777777" w:rsidR="003A1454" w:rsidRPr="005051CB" w:rsidRDefault="003A1454" w:rsidP="003A1454">
      <w:pPr>
        <w:spacing w:line="276" w:lineRule="auto"/>
        <w:rPr>
          <w:rFonts w:asciiTheme="majorHAnsi" w:hAnsiTheme="majorHAnsi"/>
        </w:rPr>
      </w:pPr>
      <w:r w:rsidRPr="005051CB">
        <w:rPr>
          <w:rFonts w:asciiTheme="majorHAnsi" w:hAnsiTheme="majorHAnsi"/>
          <w:b/>
          <w:bCs/>
        </w:rPr>
        <w:t>Orefice R</w:t>
      </w:r>
      <w:r w:rsidRPr="005051CB">
        <w:rPr>
          <w:rFonts w:asciiTheme="majorHAnsi" w:hAnsiTheme="majorHAnsi"/>
          <w:bCs/>
        </w:rPr>
        <w:t xml:space="preserve">, </w:t>
      </w:r>
      <w:proofErr w:type="spellStart"/>
      <w:r w:rsidRPr="005051CB">
        <w:rPr>
          <w:rFonts w:asciiTheme="majorHAnsi" w:hAnsiTheme="majorHAnsi"/>
          <w:bCs/>
        </w:rPr>
        <w:t>Quinlivan</w:t>
      </w:r>
      <w:proofErr w:type="spellEnd"/>
      <w:r w:rsidRPr="005051CB">
        <w:rPr>
          <w:rFonts w:asciiTheme="majorHAnsi" w:hAnsiTheme="majorHAnsi"/>
          <w:bCs/>
        </w:rPr>
        <w:t xml:space="preserve"> JA. </w:t>
      </w:r>
      <w:r w:rsidRPr="005051CB">
        <w:rPr>
          <w:rFonts w:asciiTheme="majorHAnsi" w:hAnsiTheme="majorHAnsi"/>
        </w:rPr>
        <w:t>Small interface changes have dramatic impacts: how mandatory fields in electronic medical records increased pertussis vaccination rates in Australian obstetric patients. 2019 BMJ Health Care and Informatics Apr; 26(1); 1-3</w:t>
      </w:r>
    </w:p>
    <w:p w14:paraId="13D3D601" w14:textId="77777777" w:rsidR="003A1454" w:rsidRPr="005051CB" w:rsidRDefault="003A1454" w:rsidP="003A1454">
      <w:pPr>
        <w:spacing w:line="276" w:lineRule="auto"/>
        <w:rPr>
          <w:rFonts w:asciiTheme="majorHAnsi" w:hAnsiTheme="majorHAnsi"/>
        </w:rPr>
      </w:pPr>
    </w:p>
    <w:p w14:paraId="40C5B104" w14:textId="77777777" w:rsidR="003A1454" w:rsidRDefault="003A1454" w:rsidP="003A1454">
      <w:pPr>
        <w:spacing w:line="276" w:lineRule="auto"/>
        <w:rPr>
          <w:rFonts w:asciiTheme="majorHAnsi" w:hAnsiTheme="majorHAnsi" w:cs="Big Caslon"/>
          <w:b/>
        </w:rPr>
      </w:pPr>
      <w:proofErr w:type="spellStart"/>
      <w:r w:rsidRPr="005051CB">
        <w:rPr>
          <w:rFonts w:asciiTheme="majorHAnsi" w:hAnsiTheme="majorHAnsi" w:cs="Big Caslon"/>
        </w:rPr>
        <w:t>Raheem</w:t>
      </w:r>
      <w:proofErr w:type="spellEnd"/>
      <w:r w:rsidRPr="005051CB">
        <w:rPr>
          <w:rFonts w:asciiTheme="majorHAnsi" w:hAnsiTheme="majorHAnsi" w:cs="Big Caslon"/>
        </w:rPr>
        <w:t xml:space="preserve"> M,</w:t>
      </w:r>
      <w:r w:rsidRPr="005051CB">
        <w:rPr>
          <w:rFonts w:asciiTheme="majorHAnsi" w:hAnsiTheme="majorHAnsi" w:cs="Big Caslon"/>
          <w:b/>
        </w:rPr>
        <w:t xml:space="preserve"> Orefice R. </w:t>
      </w:r>
      <w:r w:rsidRPr="005051CB">
        <w:rPr>
          <w:rFonts w:asciiTheme="majorHAnsi" w:hAnsiTheme="majorHAnsi" w:cs="Big Caslon"/>
        </w:rPr>
        <w:t xml:space="preserve">Case of Cardiorespiratory Arrest following removal of cervical </w:t>
      </w:r>
      <w:proofErr w:type="spellStart"/>
      <w:r w:rsidRPr="005051CB">
        <w:rPr>
          <w:rFonts w:asciiTheme="majorHAnsi" w:hAnsiTheme="majorHAnsi" w:cs="Big Caslon"/>
        </w:rPr>
        <w:t>cerclage</w:t>
      </w:r>
      <w:proofErr w:type="spellEnd"/>
      <w:r w:rsidRPr="005051CB">
        <w:rPr>
          <w:rFonts w:asciiTheme="majorHAnsi" w:hAnsiTheme="majorHAnsi" w:cs="Big Caslon"/>
        </w:rPr>
        <w:t xml:space="preserve">. </w:t>
      </w:r>
      <w:proofErr w:type="gramStart"/>
      <w:r w:rsidRPr="005051CB">
        <w:rPr>
          <w:rFonts w:asciiTheme="majorHAnsi" w:hAnsiTheme="majorHAnsi" w:cs="Big Caslon"/>
        </w:rPr>
        <w:t>Current Opinion in Gynecology and Obstetrics.</w:t>
      </w:r>
      <w:proofErr w:type="gramEnd"/>
      <w:r w:rsidRPr="005051CB">
        <w:rPr>
          <w:rFonts w:asciiTheme="majorHAnsi" w:hAnsiTheme="majorHAnsi" w:cs="Big Caslon"/>
        </w:rPr>
        <w:t xml:space="preserve"> 2019; 2(1) 226-229;</w:t>
      </w:r>
      <w:r>
        <w:rPr>
          <w:rFonts w:asciiTheme="majorHAnsi" w:hAnsiTheme="majorHAnsi" w:cs="Big Caslon"/>
        </w:rPr>
        <w:t xml:space="preserve"> </w:t>
      </w:r>
      <w:r w:rsidRPr="005051CB">
        <w:rPr>
          <w:rFonts w:asciiTheme="majorHAnsi" w:hAnsiTheme="majorHAnsi" w:cs="Segoe UI"/>
        </w:rPr>
        <w:t>doi.org/10.18314/cogo.v2i1.167</w:t>
      </w:r>
    </w:p>
    <w:p w14:paraId="7B24B952" w14:textId="77777777" w:rsidR="003A1454" w:rsidRPr="005051CB" w:rsidRDefault="003A1454" w:rsidP="003A1454">
      <w:pPr>
        <w:spacing w:line="276" w:lineRule="auto"/>
        <w:rPr>
          <w:rFonts w:asciiTheme="majorHAnsi" w:hAnsiTheme="majorHAnsi" w:cs="Big Caslon"/>
          <w:b/>
        </w:rPr>
      </w:pPr>
    </w:p>
    <w:p w14:paraId="4AE67AF2" w14:textId="77777777" w:rsidR="003A1454" w:rsidRPr="000A239C" w:rsidRDefault="003A1454" w:rsidP="003A1454">
      <w:pPr>
        <w:spacing w:line="276" w:lineRule="auto"/>
        <w:rPr>
          <w:rFonts w:asciiTheme="majorHAnsi" w:hAnsiTheme="majorHAnsi"/>
        </w:rPr>
      </w:pPr>
      <w:r w:rsidRPr="005051CB">
        <w:rPr>
          <w:rFonts w:asciiTheme="majorHAnsi" w:hAnsiTheme="majorHAnsi"/>
          <w:b/>
        </w:rPr>
        <w:t>Orefice R</w:t>
      </w:r>
      <w:r w:rsidRPr="005051CB">
        <w:rPr>
          <w:rFonts w:asciiTheme="majorHAnsi" w:hAnsiTheme="majorHAnsi"/>
        </w:rPr>
        <w:t xml:space="preserve">, Lim B. Long Live Lind. </w:t>
      </w:r>
      <w:proofErr w:type="gramStart"/>
      <w:r w:rsidRPr="005051CB">
        <w:rPr>
          <w:rFonts w:asciiTheme="majorHAnsi" w:hAnsiTheme="majorHAnsi"/>
        </w:rPr>
        <w:t>The History of the Randomised Control Trial and collaborative research.</w:t>
      </w:r>
      <w:proofErr w:type="gramEnd"/>
      <w:r w:rsidRPr="005051CB">
        <w:rPr>
          <w:rFonts w:asciiTheme="majorHAnsi" w:hAnsiTheme="majorHAnsi"/>
        </w:rPr>
        <w:t xml:space="preserve"> BJOG </w:t>
      </w:r>
      <w:r>
        <w:rPr>
          <w:rFonts w:asciiTheme="majorHAnsi" w:hAnsiTheme="majorHAnsi"/>
        </w:rPr>
        <w:t>August 2019; 126(9); 1093</w:t>
      </w:r>
      <w:r w:rsidRPr="000A239C">
        <w:rPr>
          <w:rFonts w:ascii="Open Sans" w:hAnsi="Open Sans" w:cs="Arial"/>
          <w:color w:val="767676"/>
          <w:sz w:val="21"/>
          <w:szCs w:val="21"/>
          <w:lang w:val="en"/>
        </w:rPr>
        <w:t xml:space="preserve"> </w:t>
      </w:r>
      <w:hyperlink r:id="rId13" w:history="1">
        <w:r w:rsidRPr="000A239C">
          <w:rPr>
            <w:rFonts w:asciiTheme="majorHAnsi" w:hAnsiTheme="majorHAnsi" w:cs="Arial"/>
            <w:bCs/>
            <w:lang w:val="en"/>
          </w:rPr>
          <w:t>doi.org/10.1111/1471-0528.15820</w:t>
        </w:r>
      </w:hyperlink>
      <w:r w:rsidRPr="000A239C">
        <w:rPr>
          <w:rFonts w:asciiTheme="majorHAnsi" w:hAnsiTheme="majorHAnsi"/>
        </w:rPr>
        <w:t xml:space="preserve"> </w:t>
      </w:r>
    </w:p>
    <w:p w14:paraId="07076F02" w14:textId="77777777" w:rsidR="003A1454" w:rsidRPr="005051CB" w:rsidRDefault="003A1454" w:rsidP="003A1454">
      <w:pPr>
        <w:spacing w:line="276" w:lineRule="auto"/>
        <w:rPr>
          <w:rFonts w:asciiTheme="majorHAnsi" w:hAnsiTheme="majorHAnsi" w:cs="Big Caslon"/>
        </w:rPr>
      </w:pPr>
    </w:p>
    <w:p w14:paraId="433A5214" w14:textId="77777777" w:rsidR="003A1454" w:rsidRDefault="003A1454" w:rsidP="003A1454">
      <w:pPr>
        <w:spacing w:line="276" w:lineRule="auto"/>
        <w:rPr>
          <w:rFonts w:asciiTheme="majorHAnsi" w:hAnsiTheme="majorHAnsi"/>
        </w:rPr>
      </w:pPr>
      <w:r w:rsidRPr="005051CB">
        <w:rPr>
          <w:rFonts w:asciiTheme="majorHAnsi" w:hAnsiTheme="majorHAnsi"/>
          <w:b/>
          <w:bCs/>
        </w:rPr>
        <w:t>Orefice R</w:t>
      </w:r>
      <w:r w:rsidRPr="005051CB">
        <w:rPr>
          <w:rFonts w:asciiTheme="majorHAnsi" w:hAnsiTheme="majorHAnsi"/>
          <w:bCs/>
        </w:rPr>
        <w:t xml:space="preserve">, </w:t>
      </w:r>
      <w:proofErr w:type="spellStart"/>
      <w:r w:rsidRPr="005051CB">
        <w:rPr>
          <w:rFonts w:asciiTheme="majorHAnsi" w:hAnsiTheme="majorHAnsi"/>
          <w:bCs/>
        </w:rPr>
        <w:t>Quinlivan</w:t>
      </w:r>
      <w:proofErr w:type="spellEnd"/>
      <w:r w:rsidRPr="005051CB">
        <w:rPr>
          <w:rFonts w:asciiTheme="majorHAnsi" w:hAnsiTheme="majorHAnsi"/>
          <w:bCs/>
        </w:rPr>
        <w:t xml:space="preserve"> JA. </w:t>
      </w:r>
      <w:r w:rsidRPr="005051CB">
        <w:rPr>
          <w:rFonts w:asciiTheme="majorHAnsi" w:hAnsiTheme="majorHAnsi"/>
        </w:rPr>
        <w:t>Programming electronic health records to include a mandatory data field enhances influenza vaccination rates in obstetric patients – Journal of Public Health (</w:t>
      </w:r>
      <w:r>
        <w:rPr>
          <w:rFonts w:asciiTheme="majorHAnsi" w:hAnsiTheme="majorHAnsi"/>
        </w:rPr>
        <w:t>Accepted)</w:t>
      </w:r>
    </w:p>
    <w:p w14:paraId="2F6BA581" w14:textId="77777777" w:rsidR="003A1454" w:rsidRDefault="003A1454" w:rsidP="003A1454">
      <w:pPr>
        <w:spacing w:line="276" w:lineRule="auto"/>
        <w:rPr>
          <w:rFonts w:asciiTheme="majorHAnsi" w:hAnsiTheme="majorHAnsi"/>
        </w:rPr>
      </w:pPr>
    </w:p>
    <w:p w14:paraId="4FB91057" w14:textId="77777777" w:rsidR="003A1454" w:rsidRDefault="003A1454" w:rsidP="003A1454">
      <w:pPr>
        <w:spacing w:line="276" w:lineRule="auto"/>
        <w:rPr>
          <w:rFonts w:asciiTheme="majorHAnsi" w:hAnsiTheme="majorHAnsi" w:cs="Big Caslon"/>
        </w:rPr>
      </w:pPr>
      <w:r w:rsidRPr="005051CB">
        <w:rPr>
          <w:rFonts w:asciiTheme="majorHAnsi" w:hAnsiTheme="majorHAnsi"/>
          <w:b/>
        </w:rPr>
        <w:t>Orefice R</w:t>
      </w:r>
      <w:r w:rsidRPr="005051CB">
        <w:rPr>
          <w:rFonts w:asciiTheme="majorHAnsi" w:hAnsiTheme="majorHAnsi"/>
        </w:rPr>
        <w:t xml:space="preserve">, </w:t>
      </w:r>
      <w:proofErr w:type="spellStart"/>
      <w:r w:rsidRPr="005051CB">
        <w:rPr>
          <w:rFonts w:asciiTheme="majorHAnsi" w:hAnsiTheme="majorHAnsi"/>
        </w:rPr>
        <w:t>Paoletti</w:t>
      </w:r>
      <w:proofErr w:type="spellEnd"/>
      <w:r w:rsidRPr="005051CB">
        <w:rPr>
          <w:rFonts w:asciiTheme="majorHAnsi" w:hAnsiTheme="majorHAnsi"/>
        </w:rPr>
        <w:t xml:space="preserve"> D, Robertson M. A novel case of congenital fetal heart block in a mother with </w:t>
      </w:r>
      <w:proofErr w:type="spellStart"/>
      <w:r w:rsidRPr="005051CB">
        <w:rPr>
          <w:rFonts w:asciiTheme="majorHAnsi" w:hAnsiTheme="majorHAnsi"/>
        </w:rPr>
        <w:t>Addisons</w:t>
      </w:r>
      <w:proofErr w:type="spellEnd"/>
      <w:r w:rsidRPr="005051CB">
        <w:rPr>
          <w:rFonts w:asciiTheme="majorHAnsi" w:hAnsiTheme="majorHAnsi"/>
        </w:rPr>
        <w:t xml:space="preserve"> disease. </w:t>
      </w:r>
      <w:proofErr w:type="spellStart"/>
      <w:r w:rsidRPr="005051CB">
        <w:rPr>
          <w:rFonts w:asciiTheme="majorHAnsi" w:hAnsiTheme="majorHAnsi"/>
        </w:rPr>
        <w:t>Sonography</w:t>
      </w:r>
      <w:proofErr w:type="spellEnd"/>
      <w:r w:rsidRPr="005051CB">
        <w:rPr>
          <w:rFonts w:asciiTheme="majorHAnsi" w:hAnsiTheme="majorHAnsi"/>
        </w:rPr>
        <w:t>. Sept 2018; 5(3); 115-119</w:t>
      </w:r>
    </w:p>
    <w:p w14:paraId="09B4C894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77F899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72CF408C" w14:textId="77777777" w:rsidR="00AE3E37" w:rsidRDefault="00AE3E37">
      <w:pPr>
        <w:pStyle w:val="BodyText"/>
        <w:rPr>
          <w:rFonts w:ascii="Calibri"/>
          <w:sz w:val="20"/>
        </w:rPr>
      </w:pPr>
    </w:p>
    <w:p w14:paraId="13EC2616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425F3E04" wp14:editId="5ADAEA7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57DCAC5" w14:textId="77777777"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lastRenderedPageBreak/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5D8CAEC" w14:textId="77777777" w:rsidR="003A1454" w:rsidRDefault="003A1454" w:rsidP="00404E5B">
      <w:pPr>
        <w:spacing w:before="92"/>
        <w:ind w:right="4234"/>
        <w:rPr>
          <w:rFonts w:ascii="Arial"/>
        </w:rPr>
      </w:pPr>
    </w:p>
    <w:p w14:paraId="08ED9408" w14:textId="77777777" w:rsidR="003A1454" w:rsidRDefault="003A1454" w:rsidP="003A1454">
      <w:proofErr w:type="spellStart"/>
      <w:r>
        <w:t>Dr</w:t>
      </w:r>
      <w:proofErr w:type="spellEnd"/>
      <w:r>
        <w:t xml:space="preserve"> Roberto Orefice MBBS AFHEA </w:t>
      </w:r>
      <w:proofErr w:type="spellStart"/>
      <w:r>
        <w:t>B.App</w:t>
      </w:r>
      <w:proofErr w:type="spellEnd"/>
      <w:r>
        <w:t xml:space="preserve"> </w:t>
      </w:r>
      <w:proofErr w:type="spellStart"/>
      <w:r>
        <w:t>Sc</w:t>
      </w:r>
      <w:proofErr w:type="spellEnd"/>
      <w:r>
        <w:t xml:space="preserve"> (Physiotherapy)</w:t>
      </w:r>
    </w:p>
    <w:p w14:paraId="1D54B7A6" w14:textId="77777777" w:rsidR="003A1454" w:rsidRDefault="003A1454" w:rsidP="003A1454">
      <w:proofErr w:type="gramStart"/>
      <w:r>
        <w:t>Currently, a Maternal Fetal Medicine Fellow at the Centenary Hospital for Women at The Canberra Hospital.</w:t>
      </w:r>
      <w:proofErr w:type="gramEnd"/>
      <w:r>
        <w:t xml:space="preserve"> I have a special interest in high risk obstetrics, fetal growth </w:t>
      </w:r>
      <w:proofErr w:type="gramStart"/>
      <w:r>
        <w:t>restriction  and</w:t>
      </w:r>
      <w:proofErr w:type="gramEnd"/>
      <w:r>
        <w:t xml:space="preserve"> ultrasound in obstetrics and </w:t>
      </w:r>
      <w:proofErr w:type="spellStart"/>
      <w:r>
        <w:t>gynaecology</w:t>
      </w:r>
      <w:proofErr w:type="spellEnd"/>
      <w:r>
        <w:t xml:space="preserve">. I have an interest in preterm birth and </w:t>
      </w:r>
      <w:proofErr w:type="gramStart"/>
      <w:r>
        <w:t>am</w:t>
      </w:r>
      <w:proofErr w:type="gramEnd"/>
      <w:r>
        <w:t xml:space="preserve"> a member of the National Preterm Birth Prevention Alliance aiming to reduce rates of preterm birth through evidence-based practices.</w:t>
      </w:r>
    </w:p>
    <w:p w14:paraId="56160C62" w14:textId="77777777" w:rsidR="003A1454" w:rsidRDefault="003A1454" w:rsidP="003A1454">
      <w:r>
        <w:t xml:space="preserve">I am actively involved in teaching through the Australian National University Medical School </w:t>
      </w:r>
    </w:p>
    <w:p w14:paraId="26E5E478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3A1454">
        <w:rPr>
          <w:rFonts w:ascii="Arial"/>
          <w:sz w:val="14"/>
        </w:rPr>
        <w:t>Roberto.Orefice@act.gov.au</w:t>
      </w:r>
      <w:bookmarkStart w:id="0" w:name="_GoBack"/>
      <w:bookmarkEnd w:id="0"/>
    </w:p>
    <w:p w14:paraId="5C7A9367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B615D87" wp14:editId="014DC16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575BF04" w14:textId="77777777" w:rsidR="00AE3E37" w:rsidRDefault="00AE3E37">
      <w:pPr>
        <w:pStyle w:val="BodyText"/>
        <w:rPr>
          <w:rFonts w:ascii="Arial"/>
          <w:sz w:val="20"/>
        </w:rPr>
      </w:pPr>
    </w:p>
    <w:p w14:paraId="712DEC2B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</w:t>
      </w:r>
      <w:r w:rsidRPr="00A45079">
        <w:rPr>
          <w:rFonts w:ascii="Minion Pro"/>
          <w:b/>
          <w:sz w:val="20"/>
        </w:rPr>
        <w:t>mm</w:t>
      </w:r>
      <w:r w:rsidRPr="00B21A57">
        <w:rPr>
          <w:rFonts w:ascii="Minion Pro"/>
          <w:b/>
          <w:sz w:val="20"/>
        </w:rPr>
        <w:t>ents:</w:t>
      </w:r>
    </w:p>
    <w:p w14:paraId="09CA272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B4CF4FC" w14:textId="77777777" w:rsidR="00AE3E37" w:rsidRPr="00A45079" w:rsidRDefault="00A45079">
      <w:pPr>
        <w:pStyle w:val="BodyText"/>
        <w:spacing w:before="3"/>
        <w:rPr>
          <w:rFonts w:ascii="Minion Pro"/>
          <w:sz w:val="20"/>
          <w:szCs w:val="22"/>
        </w:rPr>
      </w:pPr>
      <w:r>
        <w:rPr>
          <w:rFonts w:ascii="Minion Pro"/>
          <w:sz w:val="20"/>
          <w:szCs w:val="22"/>
        </w:rPr>
        <w:lastRenderedPageBreak/>
        <w:t>*</w:t>
      </w:r>
      <w:r w:rsidRPr="00A45079">
        <w:rPr>
          <w:rFonts w:ascii="Minion Pro"/>
          <w:sz w:val="20"/>
          <w:szCs w:val="22"/>
        </w:rPr>
        <w:t>Photograph</w:t>
      </w:r>
      <w:r w:rsidR="003D06E3">
        <w:rPr>
          <w:rFonts w:ascii="Minion Pro"/>
          <w:sz w:val="20"/>
          <w:szCs w:val="22"/>
        </w:rPr>
        <w:t xml:space="preserve"> of presenting author</w:t>
      </w:r>
      <w:r w:rsidRPr="00A45079">
        <w:rPr>
          <w:rFonts w:ascii="Minion Pro"/>
          <w:sz w:val="20"/>
          <w:szCs w:val="22"/>
        </w:rPr>
        <w:t>, Biography and image</w:t>
      </w:r>
      <w:r w:rsidR="003D06E3">
        <w:rPr>
          <w:rFonts w:ascii="Minion Pro"/>
          <w:sz w:val="20"/>
          <w:szCs w:val="22"/>
        </w:rPr>
        <w:t xml:space="preserve"> related to the presentation </w:t>
      </w:r>
      <w:r w:rsidRPr="00A45079">
        <w:rPr>
          <w:rFonts w:ascii="Minion Pro"/>
          <w:sz w:val="20"/>
          <w:szCs w:val="22"/>
        </w:rPr>
        <w:t>are mandatory</w:t>
      </w:r>
      <w:r w:rsidR="003D06E3">
        <w:rPr>
          <w:rFonts w:ascii="Minion Pro"/>
          <w:sz w:val="20"/>
          <w:szCs w:val="22"/>
        </w:rPr>
        <w:t>.</w:t>
      </w:r>
    </w:p>
    <w:sectPr w:rsidR="00AE3E37" w:rsidRPr="00A45079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6D850A" w14:textId="77777777" w:rsidR="00CF123A" w:rsidRDefault="00CF123A">
      <w:r>
        <w:separator/>
      </w:r>
    </w:p>
  </w:endnote>
  <w:endnote w:type="continuationSeparator" w:id="0">
    <w:p w14:paraId="651BC840" w14:textId="77777777" w:rsidR="00CF123A" w:rsidRDefault="00CF1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Big Caslon">
    <w:panose1 w:val="02000603090000020003"/>
    <w:charset w:val="00"/>
    <w:family w:val="auto"/>
    <w:pitch w:val="variable"/>
    <w:sig w:usb0="80000063" w:usb1="00000000" w:usb2="00000000" w:usb3="00000000" w:csb0="000001FB" w:csb1="00000000"/>
  </w:font>
  <w:font w:name="Segoe UI">
    <w:altName w:val="Athelas Bold Ital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FE661B3" w14:textId="77777777" w:rsidR="00CF123A" w:rsidRDefault="00CF123A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1A9EB" w14:textId="77777777" w:rsidR="00CF123A" w:rsidRDefault="00CF123A">
      <w:r>
        <w:separator/>
      </w:r>
    </w:p>
  </w:footnote>
  <w:footnote w:type="continuationSeparator" w:id="0">
    <w:p w14:paraId="460A1F77" w14:textId="77777777" w:rsidR="00CF123A" w:rsidRDefault="00CF123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71BBA81" w14:textId="77777777" w:rsidR="00CF123A" w:rsidRDefault="00CF123A">
    <w:pPr>
      <w:pStyle w:val="Header"/>
    </w:pPr>
    <w:r>
      <w:rPr>
        <w:noProof/>
        <w:lang w:val="en-IN" w:eastAsia="en-IN"/>
      </w:rPr>
      <w:pict w14:anchorId="79B045F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9" o:spid="_x0000_s2050" type="#_x0000_t75" style="position:absolute;margin-left:0;margin-top:0;width:533.5pt;height:69.25pt;z-index:-251657216;mso-position-horizontal:center;mso-position-horizontal-relative:margin;mso-position-vertical:center;mso-position-vertical-relative:margin" o:allowincell="f">
          <v:imagedata r:id="rId1" o:title="Gastro 2018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37260A4" w14:textId="77777777" w:rsidR="00CF123A" w:rsidRDefault="00CF123A" w:rsidP="00A36C2A">
    <w:pPr>
      <w:pStyle w:val="Body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AECAED8" w14:textId="77777777" w:rsidR="00CF123A" w:rsidRDefault="00CF123A">
    <w:pPr>
      <w:pStyle w:val="Header"/>
    </w:pPr>
    <w:r>
      <w:rPr>
        <w:noProof/>
        <w:lang w:val="en-IN" w:eastAsia="en-IN"/>
      </w:rPr>
      <w:pict w14:anchorId="7A78DC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259738" o:spid="_x0000_s2049" type="#_x0000_t75" style="position:absolute;margin-left:0;margin-top:0;width:533.5pt;height:69.25pt;z-index:-251658240;mso-position-horizontal:center;mso-position-horizontal-relative:margin;mso-position-vertical:center;mso-position-vertical-relative:margin" o:allowincell="f">
          <v:imagedata r:id="rId1" o:title="Gastro 2018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0F45"/>
    <w:rsid w:val="00095A2A"/>
    <w:rsid w:val="000E2911"/>
    <w:rsid w:val="00120DF6"/>
    <w:rsid w:val="001263DF"/>
    <w:rsid w:val="001E34D1"/>
    <w:rsid w:val="001F62FF"/>
    <w:rsid w:val="00262641"/>
    <w:rsid w:val="00292ED9"/>
    <w:rsid w:val="003A1454"/>
    <w:rsid w:val="003D06E3"/>
    <w:rsid w:val="00404E5B"/>
    <w:rsid w:val="00414F7B"/>
    <w:rsid w:val="00417E74"/>
    <w:rsid w:val="004355DC"/>
    <w:rsid w:val="004749B4"/>
    <w:rsid w:val="00494130"/>
    <w:rsid w:val="004F3523"/>
    <w:rsid w:val="005973B9"/>
    <w:rsid w:val="005B3A56"/>
    <w:rsid w:val="006060CE"/>
    <w:rsid w:val="0063497F"/>
    <w:rsid w:val="00787D0A"/>
    <w:rsid w:val="008168D2"/>
    <w:rsid w:val="00873DF0"/>
    <w:rsid w:val="008756E6"/>
    <w:rsid w:val="00980643"/>
    <w:rsid w:val="009B2D44"/>
    <w:rsid w:val="009E34C2"/>
    <w:rsid w:val="00A07E82"/>
    <w:rsid w:val="00A36C2A"/>
    <w:rsid w:val="00A45079"/>
    <w:rsid w:val="00A609A1"/>
    <w:rsid w:val="00A9710C"/>
    <w:rsid w:val="00AE3E37"/>
    <w:rsid w:val="00B21A57"/>
    <w:rsid w:val="00C2574F"/>
    <w:rsid w:val="00C33602"/>
    <w:rsid w:val="00CD566C"/>
    <w:rsid w:val="00CD6F55"/>
    <w:rsid w:val="00CF123A"/>
    <w:rsid w:val="00DE3104"/>
    <w:rsid w:val="00E00FDC"/>
    <w:rsid w:val="00EF20F6"/>
    <w:rsid w:val="00F72EEA"/>
    <w:rsid w:val="00F84C32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."/>
  <w:listSeparator w:val=","/>
  <w14:docId w14:val="614A6D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hyperlink" Target="https://doi.org/10.1080/14767058.2019.1566899" TargetMode="External"/><Relationship Id="rId13" Type="http://schemas.openxmlformats.org/officeDocument/2006/relationships/hyperlink" Target="https://doi.org/10.1111/1471-0528.15820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612</Words>
  <Characters>3491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Roberto Orefice</cp:lastModifiedBy>
  <cp:revision>3</cp:revision>
  <dcterms:created xsi:type="dcterms:W3CDTF">2019-08-21T12:09:00Z</dcterms:created>
  <dcterms:modified xsi:type="dcterms:W3CDTF">2019-08-21T12:33:00Z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