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October 15-16, 2018 Rome, Italy</w:t>
      </w:r>
    </w:p>
    <w:p w:rsidR="00AE3E37" w:rsidRPr="00041A28" w:rsidRDefault="0007108A" w:rsidP="00494130">
      <w:pPr>
        <w:pStyle w:val="Heading1"/>
        <w:spacing w:before="170"/>
        <w:ind w:left="0"/>
        <w:rPr>
          <w:rFonts w:asciiTheme="majorHAnsi" w:hAnsiTheme="majorHAnsi"/>
          <w:sz w:val="28"/>
          <w:szCs w:val="28"/>
        </w:rPr>
      </w:pPr>
      <w:proofErr w:type="spellStart"/>
      <w:r>
        <w:rPr>
          <w:rFonts w:asciiTheme="majorHAnsi" w:hAnsiTheme="majorHAnsi"/>
          <w:color w:val="337AB7"/>
          <w:sz w:val="28"/>
          <w:szCs w:val="28"/>
        </w:rPr>
        <w:t>NovoSorb</w:t>
      </w:r>
      <w:proofErr w:type="spellEnd"/>
      <w:r>
        <w:rPr>
          <w:rFonts w:asciiTheme="majorHAnsi" w:hAnsiTheme="majorHAnsi"/>
          <w:color w:val="337AB7"/>
          <w:sz w:val="28"/>
          <w:szCs w:val="28"/>
        </w:rPr>
        <w:t xml:space="preserve"> Biodegradable </w:t>
      </w:r>
      <w:proofErr w:type="spellStart"/>
      <w:r>
        <w:rPr>
          <w:rFonts w:asciiTheme="majorHAnsi" w:hAnsiTheme="majorHAnsi"/>
          <w:color w:val="337AB7"/>
          <w:sz w:val="28"/>
          <w:szCs w:val="28"/>
        </w:rPr>
        <w:t>Temporisi</w:t>
      </w:r>
      <w:r w:rsidR="003C1150">
        <w:rPr>
          <w:rFonts w:asciiTheme="majorHAnsi" w:hAnsiTheme="majorHAnsi"/>
          <w:color w:val="337AB7"/>
          <w:sz w:val="28"/>
          <w:szCs w:val="28"/>
        </w:rPr>
        <w:t>ng</w:t>
      </w:r>
      <w:proofErr w:type="spellEnd"/>
      <w:r w:rsidR="003C1150">
        <w:rPr>
          <w:rFonts w:asciiTheme="majorHAnsi" w:hAnsiTheme="majorHAnsi"/>
          <w:color w:val="337AB7"/>
          <w:sz w:val="28"/>
          <w:szCs w:val="28"/>
        </w:rPr>
        <w:t xml:space="preserve"> Matrix (BTM) - use in significant burns</w:t>
      </w:r>
    </w:p>
    <w:p w:rsidR="000D6982" w:rsidRPr="000D6982" w:rsidRDefault="0007108A" w:rsidP="000D6982">
      <w:pPr>
        <w:rPr>
          <w:rFonts w:asciiTheme="majorHAnsi" w:hAnsiTheme="majorHAnsi"/>
          <w:vertAlign w:val="superscript"/>
        </w:rPr>
      </w:pPr>
      <w:r>
        <w:rPr>
          <w:rFonts w:asciiTheme="majorHAnsi" w:hAnsiTheme="majorHAnsi"/>
          <w:u w:val="single"/>
        </w:rPr>
        <w:t xml:space="preserve">John Edward </w:t>
      </w:r>
      <w:proofErr w:type="spellStart"/>
      <w:r>
        <w:rPr>
          <w:rFonts w:asciiTheme="majorHAnsi" w:hAnsiTheme="majorHAnsi"/>
          <w:u w:val="single"/>
        </w:rPr>
        <w:t>Greenwood</w:t>
      </w:r>
      <w:r w:rsidR="000D6982" w:rsidRPr="000D6982">
        <w:rPr>
          <w:rFonts w:asciiTheme="majorHAnsi" w:hAnsiTheme="majorHAnsi"/>
          <w:u w:val="single"/>
          <w:vertAlign w:val="superscript"/>
        </w:rPr>
        <w:t>a</w:t>
      </w:r>
      <w:proofErr w:type="spellEnd"/>
      <w:r w:rsidR="000D6982" w:rsidRPr="000D6982">
        <w:rPr>
          <w:rFonts w:asciiTheme="majorHAnsi" w:hAnsiTheme="majorHAnsi"/>
        </w:rPr>
        <w:t xml:space="preserve">*, </w:t>
      </w:r>
      <w:r>
        <w:rPr>
          <w:rFonts w:asciiTheme="majorHAnsi" w:hAnsiTheme="majorHAnsi"/>
        </w:rPr>
        <w:t xml:space="preserve">Marcus James Dermott </w:t>
      </w:r>
      <w:proofErr w:type="spellStart"/>
      <w:r>
        <w:rPr>
          <w:rFonts w:asciiTheme="majorHAnsi" w:hAnsiTheme="majorHAnsi"/>
        </w:rPr>
        <w:t>Wagstaff</w:t>
      </w:r>
      <w:r w:rsidRPr="0007108A">
        <w:rPr>
          <w:rFonts w:asciiTheme="majorHAnsi" w:hAnsiTheme="majorHAnsi"/>
          <w:vertAlign w:val="superscript"/>
        </w:rPr>
        <w:t>a,</w:t>
      </w:r>
      <w:r w:rsidR="000D6982" w:rsidRPr="0007108A">
        <w:rPr>
          <w:rFonts w:asciiTheme="majorHAnsi" w:hAnsiTheme="majorHAnsi"/>
          <w:vertAlign w:val="superscript"/>
        </w:rPr>
        <w:t>b</w:t>
      </w:r>
      <w:bookmarkStart w:id="0" w:name="_GoBack"/>
      <w:bookmarkEnd w:id="0"/>
      <w:proofErr w:type="spellEnd"/>
    </w:p>
    <w:p w:rsidR="000D6982" w:rsidRPr="000D6982" w:rsidRDefault="000D6982" w:rsidP="000D6982">
      <w:pPr>
        <w:jc w:val="center"/>
        <w:rPr>
          <w:rFonts w:asciiTheme="majorHAnsi" w:hAnsiTheme="majorHAnsi"/>
        </w:rPr>
      </w:pPr>
    </w:p>
    <w:p w:rsidR="0007108A" w:rsidRDefault="000D6982" w:rsidP="000D6982">
      <w:pPr>
        <w:rPr>
          <w:rFonts w:asciiTheme="majorHAnsi" w:hAnsiTheme="majorHAnsi"/>
          <w:i/>
        </w:rPr>
      </w:pPr>
      <w:proofErr w:type="spellStart"/>
      <w:r w:rsidRPr="000D6982">
        <w:rPr>
          <w:rFonts w:asciiTheme="majorHAnsi" w:hAnsiTheme="majorHAnsi"/>
          <w:i/>
          <w:vertAlign w:val="superscript"/>
        </w:rPr>
        <w:t>a</w:t>
      </w:r>
      <w:r w:rsidRPr="000D6982">
        <w:rPr>
          <w:rFonts w:asciiTheme="majorHAnsi" w:hAnsiTheme="majorHAnsi"/>
          <w:i/>
        </w:rPr>
        <w:t>A</w:t>
      </w:r>
      <w:r w:rsidR="0007108A">
        <w:rPr>
          <w:rFonts w:asciiTheme="majorHAnsi" w:hAnsiTheme="majorHAnsi"/>
          <w:i/>
        </w:rPr>
        <w:t>dult</w:t>
      </w:r>
      <w:proofErr w:type="spellEnd"/>
      <w:r w:rsidR="0007108A">
        <w:rPr>
          <w:rFonts w:asciiTheme="majorHAnsi" w:hAnsiTheme="majorHAnsi"/>
          <w:i/>
        </w:rPr>
        <w:t xml:space="preserve"> Burn Service, Royal Adelaide Hospital, Port Road, Adelaide 5000, South Australia, Australia </w:t>
      </w:r>
    </w:p>
    <w:p w:rsidR="0007108A" w:rsidRDefault="0007108A" w:rsidP="0007108A">
      <w:pPr>
        <w:rPr>
          <w:rFonts w:asciiTheme="majorHAnsi" w:hAnsiTheme="majorHAnsi"/>
          <w:i/>
        </w:rPr>
      </w:pPr>
      <w:proofErr w:type="spellStart"/>
      <w:r>
        <w:rPr>
          <w:rFonts w:asciiTheme="majorHAnsi" w:hAnsiTheme="majorHAnsi"/>
          <w:i/>
          <w:vertAlign w:val="superscript"/>
        </w:rPr>
        <w:t>b</w:t>
      </w:r>
      <w:r>
        <w:rPr>
          <w:rFonts w:asciiTheme="majorHAnsi" w:hAnsiTheme="majorHAnsi"/>
          <w:i/>
        </w:rPr>
        <w:t>Department</w:t>
      </w:r>
      <w:proofErr w:type="spellEnd"/>
      <w:r>
        <w:rPr>
          <w:rFonts w:asciiTheme="majorHAnsi" w:hAnsiTheme="majorHAnsi"/>
          <w:i/>
        </w:rPr>
        <w:t xml:space="preserve"> of Plastic and Reconstructive Surgery, Royal Adelaide Hospital, Port Road, Adelaide 5000, South Australia, Australia </w:t>
      </w:r>
    </w:p>
    <w:p w:rsidR="00AE3E37" w:rsidRPr="000D6982" w:rsidRDefault="00AE3E37">
      <w:pPr>
        <w:rPr>
          <w:rFonts w:asciiTheme="majorHAnsi" w:hAnsiTheme="majorHAnsi"/>
          <w:sz w:val="21"/>
        </w:rPr>
        <w:sectPr w:rsidR="00AE3E37" w:rsidRPr="000D6982">
          <w:headerReference w:type="default" r:id="rId7"/>
          <w:footerReference w:type="default" r:id="rId8"/>
          <w:type w:val="continuous"/>
          <w:pgSz w:w="11910" w:h="16840"/>
          <w:pgMar w:top="1740" w:right="600" w:bottom="840" w:left="620" w:header="541" w:footer="642" w:gutter="0"/>
        </w:sectPr>
      </w:pPr>
    </w:p>
    <w:p w:rsidR="00AE3E37" w:rsidRPr="000D6982" w:rsidRDefault="00A9710C" w:rsidP="00610FA2">
      <w:pPr>
        <w:pStyle w:val="Heading3"/>
        <w:spacing w:before="147"/>
        <w:ind w:left="0"/>
        <w:jc w:val="both"/>
        <w:rPr>
          <w:rFonts w:asciiTheme="majorHAnsi" w:hAnsiTheme="majorHAnsi"/>
        </w:rPr>
      </w:pPr>
      <w:r w:rsidRPr="000D6982">
        <w:rPr>
          <w:rFonts w:asciiTheme="majorHAnsi" w:hAnsiTheme="majorHAnsi"/>
          <w:color w:val="BF5A14"/>
        </w:rPr>
        <w:t>Abstract</w:t>
      </w:r>
    </w:p>
    <w:p w:rsidR="00B05B37" w:rsidRDefault="00B05B37" w:rsidP="0007108A">
      <w:pPr>
        <w:autoSpaceDE w:val="0"/>
        <w:autoSpaceDN w:val="0"/>
        <w:adjustRightInd w:val="0"/>
        <w:jc w:val="both"/>
        <w:rPr>
          <w:rFonts w:asciiTheme="majorHAnsi" w:hAnsiTheme="majorHAnsi" w:cs="Verdana"/>
          <w:color w:val="000026"/>
          <w:sz w:val="18"/>
          <w:szCs w:val="26"/>
        </w:rPr>
      </w:pPr>
      <w:r>
        <w:rPr>
          <w:rFonts w:asciiTheme="majorHAnsi" w:hAnsiTheme="majorHAnsi" w:cs="Verdana"/>
          <w:color w:val="000026"/>
          <w:sz w:val="18"/>
          <w:szCs w:val="26"/>
        </w:rPr>
        <w:t xml:space="preserve">Introduction: The </w:t>
      </w:r>
      <w:proofErr w:type="spellStart"/>
      <w:r>
        <w:rPr>
          <w:rFonts w:asciiTheme="majorHAnsi" w:hAnsiTheme="majorHAnsi" w:cs="Verdana"/>
          <w:color w:val="000026"/>
          <w:sz w:val="18"/>
          <w:szCs w:val="26"/>
        </w:rPr>
        <w:t>NovoSorb</w:t>
      </w:r>
      <w:proofErr w:type="spellEnd"/>
      <w:r>
        <w:rPr>
          <w:rFonts w:asciiTheme="majorHAnsi" w:hAnsiTheme="majorHAnsi" w:cs="Verdana"/>
          <w:color w:val="000026"/>
          <w:sz w:val="18"/>
          <w:szCs w:val="26"/>
        </w:rPr>
        <w:t xml:space="preserve"> BTM is a completely synthetic </w:t>
      </w:r>
      <w:proofErr w:type="spellStart"/>
      <w:r>
        <w:rPr>
          <w:rFonts w:asciiTheme="majorHAnsi" w:hAnsiTheme="majorHAnsi" w:cs="Verdana"/>
          <w:color w:val="000026"/>
          <w:sz w:val="18"/>
          <w:szCs w:val="26"/>
        </w:rPr>
        <w:t>bilayer</w:t>
      </w:r>
      <w:proofErr w:type="spellEnd"/>
      <w:r>
        <w:rPr>
          <w:rFonts w:asciiTheme="majorHAnsi" w:hAnsiTheme="majorHAnsi" w:cs="Verdana"/>
          <w:color w:val="000026"/>
          <w:sz w:val="18"/>
          <w:szCs w:val="26"/>
        </w:rPr>
        <w:t xml:space="preserve"> material comprising a </w:t>
      </w:r>
      <w:r w:rsidR="00AD6863">
        <w:rPr>
          <w:rFonts w:asciiTheme="majorHAnsi" w:hAnsiTheme="majorHAnsi" w:cs="Verdana"/>
          <w:color w:val="000026"/>
          <w:sz w:val="18"/>
          <w:szCs w:val="26"/>
        </w:rPr>
        <w:t>dermal component (</w:t>
      </w:r>
      <w:r>
        <w:rPr>
          <w:rFonts w:asciiTheme="majorHAnsi" w:hAnsiTheme="majorHAnsi" w:cs="Verdana"/>
          <w:color w:val="000026"/>
          <w:sz w:val="18"/>
          <w:szCs w:val="26"/>
        </w:rPr>
        <w:t>2mm thick biodegradable polyurethane foam</w:t>
      </w:r>
      <w:r w:rsidR="00AD6863">
        <w:rPr>
          <w:rFonts w:asciiTheme="majorHAnsi" w:hAnsiTheme="majorHAnsi" w:cs="Verdana"/>
          <w:color w:val="000026"/>
          <w:sz w:val="18"/>
          <w:szCs w:val="26"/>
        </w:rPr>
        <w:t xml:space="preserve">) bonded to a </w:t>
      </w:r>
      <w:proofErr w:type="spellStart"/>
      <w:r w:rsidR="00AD6863">
        <w:rPr>
          <w:rFonts w:asciiTheme="majorHAnsi" w:hAnsiTheme="majorHAnsi" w:cs="Verdana"/>
          <w:color w:val="000026"/>
          <w:sz w:val="18"/>
          <w:szCs w:val="26"/>
        </w:rPr>
        <w:t>pseudoepidermis</w:t>
      </w:r>
      <w:proofErr w:type="spellEnd"/>
      <w:r w:rsidR="00AD6863">
        <w:rPr>
          <w:rFonts w:asciiTheme="majorHAnsi" w:hAnsiTheme="majorHAnsi" w:cs="Verdana"/>
          <w:color w:val="000026"/>
          <w:sz w:val="18"/>
          <w:szCs w:val="26"/>
        </w:rPr>
        <w:t xml:space="preserve"> of non-biodegradable polyurethane film. Its primary function is to ‘</w:t>
      </w:r>
      <w:proofErr w:type="spellStart"/>
      <w:r w:rsidR="00AD6863">
        <w:rPr>
          <w:rFonts w:asciiTheme="majorHAnsi" w:hAnsiTheme="majorHAnsi" w:cs="Verdana"/>
          <w:color w:val="000026"/>
          <w:sz w:val="18"/>
          <w:szCs w:val="26"/>
        </w:rPr>
        <w:t>temporise</w:t>
      </w:r>
      <w:proofErr w:type="spellEnd"/>
      <w:r w:rsidR="00AD6863">
        <w:rPr>
          <w:rFonts w:asciiTheme="majorHAnsi" w:hAnsiTheme="majorHAnsi" w:cs="Verdana"/>
          <w:color w:val="000026"/>
          <w:sz w:val="18"/>
          <w:szCs w:val="26"/>
        </w:rPr>
        <w:t xml:space="preserve">’ wounds, buying time for a definitive closure option to become available. Since the dermal foam becomes integrated and creates a </w:t>
      </w:r>
      <w:proofErr w:type="spellStart"/>
      <w:r w:rsidR="00AD6863">
        <w:rPr>
          <w:rFonts w:asciiTheme="majorHAnsi" w:hAnsiTheme="majorHAnsi" w:cs="Verdana"/>
          <w:color w:val="000026"/>
          <w:sz w:val="18"/>
          <w:szCs w:val="26"/>
        </w:rPr>
        <w:t>neodermis</w:t>
      </w:r>
      <w:proofErr w:type="spellEnd"/>
      <w:r w:rsidR="00AD6863">
        <w:rPr>
          <w:rFonts w:asciiTheme="majorHAnsi" w:hAnsiTheme="majorHAnsi" w:cs="Verdana"/>
          <w:color w:val="000026"/>
          <w:sz w:val="18"/>
          <w:szCs w:val="26"/>
        </w:rPr>
        <w:t xml:space="preserve">, it is an ‘active’ </w:t>
      </w:r>
      <w:proofErr w:type="spellStart"/>
      <w:r w:rsidR="00AD6863">
        <w:rPr>
          <w:rFonts w:asciiTheme="majorHAnsi" w:hAnsiTheme="majorHAnsi" w:cs="Verdana"/>
          <w:color w:val="000026"/>
          <w:sz w:val="18"/>
          <w:szCs w:val="26"/>
        </w:rPr>
        <w:t>temporiser</w:t>
      </w:r>
      <w:proofErr w:type="spellEnd"/>
      <w:r w:rsidR="00AD6863">
        <w:rPr>
          <w:rFonts w:asciiTheme="majorHAnsi" w:hAnsiTheme="majorHAnsi" w:cs="Verdana"/>
          <w:color w:val="000026"/>
          <w:sz w:val="18"/>
          <w:szCs w:val="26"/>
        </w:rPr>
        <w:t>, improving the wound bed for definitive closure.</w:t>
      </w:r>
    </w:p>
    <w:p w:rsidR="0007108A" w:rsidRPr="0007108A" w:rsidRDefault="0007108A" w:rsidP="0007108A">
      <w:pPr>
        <w:autoSpaceDE w:val="0"/>
        <w:autoSpaceDN w:val="0"/>
        <w:adjustRightInd w:val="0"/>
        <w:jc w:val="both"/>
        <w:rPr>
          <w:rFonts w:asciiTheme="majorHAnsi" w:hAnsiTheme="majorHAnsi" w:cs="Verdana"/>
          <w:color w:val="000026"/>
          <w:sz w:val="18"/>
          <w:szCs w:val="26"/>
        </w:rPr>
      </w:pPr>
      <w:r w:rsidRPr="0007108A">
        <w:rPr>
          <w:rFonts w:asciiTheme="majorHAnsi" w:hAnsiTheme="majorHAnsi" w:cs="Verdana"/>
          <w:color w:val="000026"/>
          <w:sz w:val="18"/>
          <w:szCs w:val="26"/>
        </w:rPr>
        <w:t xml:space="preserve">Methods: </w:t>
      </w:r>
      <w:r w:rsidR="00515D85">
        <w:rPr>
          <w:rFonts w:asciiTheme="majorHAnsi" w:hAnsiTheme="majorHAnsi" w:cs="Verdana"/>
          <w:color w:val="000026"/>
          <w:sz w:val="18"/>
          <w:szCs w:val="26"/>
        </w:rPr>
        <w:t xml:space="preserve">To date, 18 patients with significant burns have been treated with BTM. Since the first, salient lessons regarding the application (contouring, cutting and fixing), dressing, monitoring, timing of </w:t>
      </w:r>
      <w:proofErr w:type="spellStart"/>
      <w:r w:rsidR="00515D85">
        <w:rPr>
          <w:rFonts w:asciiTheme="majorHAnsi" w:hAnsiTheme="majorHAnsi" w:cs="Verdana"/>
          <w:color w:val="000026"/>
          <w:sz w:val="18"/>
          <w:szCs w:val="26"/>
        </w:rPr>
        <w:t>delamination</w:t>
      </w:r>
      <w:proofErr w:type="spellEnd"/>
      <w:r w:rsidR="00515D85">
        <w:rPr>
          <w:rFonts w:asciiTheme="majorHAnsi" w:hAnsiTheme="majorHAnsi" w:cs="Verdana"/>
          <w:color w:val="000026"/>
          <w:sz w:val="18"/>
          <w:szCs w:val="26"/>
        </w:rPr>
        <w:t xml:space="preserve"> and grafting have presented themselves. ,</w:t>
      </w:r>
      <w:r w:rsidR="00AD6863">
        <w:rPr>
          <w:rFonts w:asciiTheme="majorHAnsi" w:hAnsiTheme="majorHAnsi" w:cs="Verdana"/>
          <w:color w:val="000026"/>
          <w:sz w:val="18"/>
          <w:szCs w:val="26"/>
        </w:rPr>
        <w:t xml:space="preserve"> </w:t>
      </w:r>
      <w:r w:rsidR="00515D85">
        <w:rPr>
          <w:rFonts w:asciiTheme="majorHAnsi" w:hAnsiTheme="majorHAnsi" w:cs="Verdana"/>
          <w:color w:val="000026"/>
          <w:sz w:val="18"/>
          <w:szCs w:val="26"/>
        </w:rPr>
        <w:t>The initial 5 patients were part of a pilot trial, the following two</w:t>
      </w:r>
      <w:r w:rsidR="00EF2443">
        <w:rPr>
          <w:rFonts w:asciiTheme="majorHAnsi" w:hAnsiTheme="majorHAnsi" w:cs="Verdana"/>
          <w:color w:val="000026"/>
          <w:sz w:val="18"/>
          <w:szCs w:val="26"/>
        </w:rPr>
        <w:t xml:space="preserve"> (involved in the </w:t>
      </w:r>
      <w:proofErr w:type="spellStart"/>
      <w:r w:rsidR="00EF2443">
        <w:rPr>
          <w:rFonts w:asciiTheme="majorHAnsi" w:hAnsiTheme="majorHAnsi" w:cs="Verdana"/>
          <w:color w:val="000026"/>
          <w:sz w:val="18"/>
          <w:szCs w:val="26"/>
        </w:rPr>
        <w:t>Pinery</w:t>
      </w:r>
      <w:proofErr w:type="spellEnd"/>
      <w:r w:rsidR="00EF2443">
        <w:rPr>
          <w:rFonts w:asciiTheme="majorHAnsi" w:hAnsiTheme="majorHAnsi" w:cs="Verdana"/>
          <w:color w:val="000026"/>
          <w:sz w:val="18"/>
          <w:szCs w:val="26"/>
        </w:rPr>
        <w:t xml:space="preserve"> Bushfire Disaster) and the subsequent 11 have been permitted by the </w:t>
      </w:r>
      <w:r w:rsidRPr="00AD6863">
        <w:rPr>
          <w:rFonts w:asciiTheme="majorHAnsi" w:hAnsiTheme="majorHAnsi" w:cs="Verdana"/>
          <w:color w:val="000026"/>
          <w:sz w:val="18"/>
          <w:szCs w:val="26"/>
        </w:rPr>
        <w:t>Therapeutic Goods Administration (TGA)</w:t>
      </w:r>
      <w:r w:rsidR="00EF2443">
        <w:rPr>
          <w:rFonts w:asciiTheme="majorHAnsi" w:hAnsiTheme="majorHAnsi" w:cs="Verdana"/>
          <w:color w:val="000026"/>
          <w:sz w:val="18"/>
          <w:szCs w:val="26"/>
        </w:rPr>
        <w:t xml:space="preserve"> either under Special Access or</w:t>
      </w:r>
      <w:r w:rsidRPr="00AD6863">
        <w:rPr>
          <w:rFonts w:asciiTheme="majorHAnsi" w:hAnsiTheme="majorHAnsi" w:cs="Verdana"/>
          <w:color w:val="000026"/>
          <w:sz w:val="18"/>
          <w:szCs w:val="26"/>
        </w:rPr>
        <w:t xml:space="preserve"> </w:t>
      </w:r>
      <w:proofErr w:type="spellStart"/>
      <w:r w:rsidRPr="00AD6863">
        <w:rPr>
          <w:rFonts w:asciiTheme="majorHAnsi" w:hAnsiTheme="majorHAnsi" w:cs="Verdana"/>
          <w:color w:val="000026"/>
          <w:sz w:val="18"/>
          <w:szCs w:val="26"/>
        </w:rPr>
        <w:t>Authorised</w:t>
      </w:r>
      <w:proofErr w:type="spellEnd"/>
      <w:r w:rsidRPr="00AD6863">
        <w:rPr>
          <w:rFonts w:asciiTheme="majorHAnsi" w:hAnsiTheme="majorHAnsi" w:cs="Verdana"/>
          <w:color w:val="000026"/>
          <w:sz w:val="18"/>
          <w:szCs w:val="26"/>
        </w:rPr>
        <w:t xml:space="preserve"> Prescrib</w:t>
      </w:r>
      <w:r w:rsidR="00D955AD" w:rsidRPr="00AD6863">
        <w:rPr>
          <w:rFonts w:asciiTheme="majorHAnsi" w:hAnsiTheme="majorHAnsi" w:cs="Verdana"/>
          <w:color w:val="000026"/>
          <w:sz w:val="18"/>
          <w:szCs w:val="26"/>
        </w:rPr>
        <w:t>er Scheme</w:t>
      </w:r>
      <w:r w:rsidR="00EF2443">
        <w:rPr>
          <w:rFonts w:asciiTheme="majorHAnsi" w:hAnsiTheme="majorHAnsi" w:cs="Verdana"/>
          <w:color w:val="000026"/>
          <w:sz w:val="18"/>
          <w:szCs w:val="26"/>
        </w:rPr>
        <w:t>s</w:t>
      </w:r>
      <w:r w:rsidR="00D955AD">
        <w:rPr>
          <w:rFonts w:asciiTheme="majorHAnsi" w:hAnsiTheme="majorHAnsi" w:cs="Verdana"/>
          <w:color w:val="000026"/>
          <w:sz w:val="18"/>
          <w:szCs w:val="26"/>
        </w:rPr>
        <w:t xml:space="preserve">. </w:t>
      </w:r>
      <w:r w:rsidRPr="0007108A">
        <w:rPr>
          <w:rFonts w:asciiTheme="majorHAnsi" w:hAnsiTheme="majorHAnsi" w:cs="Verdana"/>
          <w:color w:val="000026"/>
          <w:sz w:val="18"/>
          <w:szCs w:val="26"/>
        </w:rPr>
        <w:t xml:space="preserve">In all cases a photographic </w:t>
      </w:r>
      <w:r w:rsidR="00D955AD">
        <w:rPr>
          <w:rFonts w:asciiTheme="majorHAnsi" w:hAnsiTheme="majorHAnsi" w:cs="Verdana"/>
          <w:color w:val="000026"/>
          <w:sz w:val="18"/>
          <w:szCs w:val="26"/>
        </w:rPr>
        <w:t>(</w:t>
      </w:r>
      <w:r w:rsidRPr="0007108A">
        <w:rPr>
          <w:rFonts w:asciiTheme="majorHAnsi" w:hAnsiTheme="majorHAnsi" w:cs="Verdana"/>
          <w:color w:val="000026"/>
          <w:sz w:val="18"/>
          <w:szCs w:val="26"/>
        </w:rPr>
        <w:t xml:space="preserve">and </w:t>
      </w:r>
      <w:r w:rsidR="00D955AD">
        <w:rPr>
          <w:rFonts w:asciiTheme="majorHAnsi" w:hAnsiTheme="majorHAnsi" w:cs="Verdana"/>
          <w:color w:val="000026"/>
          <w:sz w:val="18"/>
          <w:szCs w:val="26"/>
        </w:rPr>
        <w:t xml:space="preserve">sometimes </w:t>
      </w:r>
      <w:r w:rsidRPr="0007108A">
        <w:rPr>
          <w:rFonts w:asciiTheme="majorHAnsi" w:hAnsiTheme="majorHAnsi" w:cs="Verdana"/>
          <w:color w:val="000026"/>
          <w:sz w:val="18"/>
          <w:szCs w:val="26"/>
        </w:rPr>
        <w:t>video</w:t>
      </w:r>
      <w:r w:rsidR="00D955AD">
        <w:rPr>
          <w:rFonts w:asciiTheme="majorHAnsi" w:hAnsiTheme="majorHAnsi" w:cs="Verdana"/>
          <w:color w:val="000026"/>
          <w:sz w:val="18"/>
          <w:szCs w:val="26"/>
        </w:rPr>
        <w:t>)</w:t>
      </w:r>
      <w:r w:rsidRPr="0007108A">
        <w:rPr>
          <w:rFonts w:asciiTheme="majorHAnsi" w:hAnsiTheme="majorHAnsi" w:cs="Verdana"/>
          <w:color w:val="000026"/>
          <w:sz w:val="18"/>
          <w:szCs w:val="26"/>
        </w:rPr>
        <w:t xml:space="preserve"> record has been taken at every procedure and review</w:t>
      </w:r>
      <w:r w:rsidR="0038123A">
        <w:rPr>
          <w:rFonts w:asciiTheme="majorHAnsi" w:hAnsiTheme="majorHAnsi" w:cs="Verdana"/>
          <w:color w:val="000026"/>
          <w:sz w:val="18"/>
          <w:szCs w:val="26"/>
        </w:rPr>
        <w:t xml:space="preserve"> </w:t>
      </w:r>
      <w:r w:rsidR="00EF2443">
        <w:rPr>
          <w:rFonts w:asciiTheme="majorHAnsi" w:hAnsiTheme="majorHAnsi" w:cs="Verdana"/>
          <w:color w:val="000026"/>
          <w:sz w:val="18"/>
          <w:szCs w:val="26"/>
        </w:rPr>
        <w:t xml:space="preserve">and several </w:t>
      </w:r>
      <w:r w:rsidR="0038123A">
        <w:rPr>
          <w:rFonts w:asciiTheme="majorHAnsi" w:hAnsiTheme="majorHAnsi" w:cs="Verdana"/>
          <w:color w:val="000026"/>
          <w:sz w:val="18"/>
          <w:szCs w:val="26"/>
        </w:rPr>
        <w:t>case</w:t>
      </w:r>
      <w:r w:rsidR="00EF2443">
        <w:rPr>
          <w:rFonts w:asciiTheme="majorHAnsi" w:hAnsiTheme="majorHAnsi" w:cs="Verdana"/>
          <w:color w:val="000026"/>
          <w:sz w:val="18"/>
          <w:szCs w:val="26"/>
        </w:rPr>
        <w:t>s</w:t>
      </w:r>
      <w:r w:rsidR="0038123A">
        <w:rPr>
          <w:rFonts w:asciiTheme="majorHAnsi" w:hAnsiTheme="majorHAnsi" w:cs="Verdana"/>
          <w:color w:val="000026"/>
          <w:sz w:val="18"/>
          <w:szCs w:val="26"/>
        </w:rPr>
        <w:t xml:space="preserve"> will be discussed</w:t>
      </w:r>
      <w:r w:rsidRPr="0007108A">
        <w:rPr>
          <w:rFonts w:asciiTheme="majorHAnsi" w:hAnsiTheme="majorHAnsi" w:cs="Verdana"/>
          <w:color w:val="000026"/>
          <w:sz w:val="18"/>
          <w:szCs w:val="26"/>
        </w:rPr>
        <w:t>.</w:t>
      </w:r>
    </w:p>
    <w:p w:rsidR="00AE3E37" w:rsidRPr="0007108A" w:rsidRDefault="0007108A" w:rsidP="0007108A">
      <w:pPr>
        <w:pStyle w:val="BodyText"/>
        <w:jc w:val="both"/>
        <w:rPr>
          <w:rFonts w:asciiTheme="majorHAnsi" w:hAnsiTheme="majorHAnsi"/>
        </w:rPr>
      </w:pPr>
      <w:r w:rsidRPr="0007108A">
        <w:rPr>
          <w:rFonts w:asciiTheme="majorHAnsi" w:hAnsiTheme="majorHAnsi" w:cs="Verdana"/>
          <w:color w:val="000026"/>
          <w:szCs w:val="26"/>
        </w:rPr>
        <w:t xml:space="preserve">Results/Conclusions: </w:t>
      </w:r>
      <w:r w:rsidR="00AD6863">
        <w:rPr>
          <w:rFonts w:asciiTheme="majorHAnsi" w:hAnsiTheme="majorHAnsi" w:cs="Verdana"/>
          <w:color w:val="000026"/>
          <w:szCs w:val="26"/>
        </w:rPr>
        <w:t xml:space="preserve">The matrix integrated completely in </w:t>
      </w:r>
      <w:r w:rsidR="00EF2443">
        <w:rPr>
          <w:rFonts w:asciiTheme="majorHAnsi" w:hAnsiTheme="majorHAnsi" w:cs="Verdana"/>
          <w:color w:val="000026"/>
          <w:szCs w:val="26"/>
        </w:rPr>
        <w:t xml:space="preserve">almost </w:t>
      </w:r>
      <w:r w:rsidR="00AD6863">
        <w:rPr>
          <w:rFonts w:asciiTheme="majorHAnsi" w:hAnsiTheme="majorHAnsi" w:cs="Verdana"/>
          <w:color w:val="000026"/>
          <w:szCs w:val="26"/>
        </w:rPr>
        <w:t>all cases and graft take</w:t>
      </w:r>
      <w:r w:rsidR="00EF2443">
        <w:rPr>
          <w:rFonts w:asciiTheme="majorHAnsi" w:hAnsiTheme="majorHAnsi" w:cs="Verdana"/>
          <w:color w:val="000026"/>
          <w:szCs w:val="26"/>
        </w:rPr>
        <w:t xml:space="preserve"> over integrated BTM was</w:t>
      </w:r>
      <w:r w:rsidR="00AD6863">
        <w:rPr>
          <w:rFonts w:asciiTheme="majorHAnsi" w:hAnsiTheme="majorHAnsi" w:cs="Verdana"/>
          <w:color w:val="000026"/>
          <w:szCs w:val="26"/>
        </w:rPr>
        <w:t xml:space="preserve"> uniformly excellent. </w:t>
      </w:r>
      <w:r w:rsidR="00EF2443">
        <w:rPr>
          <w:rFonts w:asciiTheme="majorHAnsi" w:hAnsiTheme="majorHAnsi" w:cs="Verdana"/>
          <w:color w:val="000026"/>
          <w:szCs w:val="26"/>
        </w:rPr>
        <w:t xml:space="preserve">Several episodes of localized infection were treated by local </w:t>
      </w:r>
      <w:proofErr w:type="spellStart"/>
      <w:r w:rsidR="00EF2443">
        <w:rPr>
          <w:rFonts w:asciiTheme="majorHAnsi" w:hAnsiTheme="majorHAnsi" w:cs="Verdana"/>
          <w:color w:val="000026"/>
          <w:szCs w:val="26"/>
        </w:rPr>
        <w:t>manoeuvres</w:t>
      </w:r>
      <w:proofErr w:type="spellEnd"/>
      <w:r w:rsidR="00EF2443">
        <w:rPr>
          <w:rFonts w:asciiTheme="majorHAnsi" w:hAnsiTheme="majorHAnsi" w:cs="Verdana"/>
          <w:color w:val="000026"/>
          <w:szCs w:val="26"/>
        </w:rPr>
        <w:t>, dressings and systemic antibiotics without removal or loss of the BTM. Some BTM required removal and replacement. The split skin grafts applied over integrated BTM varied from sheet graft to 1:3 mesh. Graft loss was rare and in all cases, mesh pattern faded, becoming invisible in some by 12 months. Functional and cosmetic outcomes (measured by POSAS and MAPS) have been significantly better than</w:t>
      </w:r>
      <w:r w:rsidRPr="0007108A">
        <w:rPr>
          <w:rFonts w:asciiTheme="majorHAnsi" w:hAnsiTheme="majorHAnsi" w:cs="Verdana"/>
          <w:color w:val="000026"/>
          <w:szCs w:val="26"/>
        </w:rPr>
        <w:t xml:space="preserve"> </w:t>
      </w:r>
      <w:r w:rsidR="00EF2443">
        <w:rPr>
          <w:rFonts w:asciiTheme="majorHAnsi" w:hAnsiTheme="majorHAnsi" w:cs="Verdana"/>
          <w:color w:val="000026"/>
          <w:szCs w:val="26"/>
        </w:rPr>
        <w:t xml:space="preserve">historical cases. Reconstruction within BTM areas has been limited to web space releases and simple flap release of </w:t>
      </w:r>
      <w:r w:rsidR="00676740">
        <w:rPr>
          <w:rFonts w:asciiTheme="majorHAnsi" w:hAnsiTheme="majorHAnsi" w:cs="Verdana"/>
          <w:color w:val="000026"/>
          <w:szCs w:val="26"/>
        </w:rPr>
        <w:t>unusual contracture bands. BTM is now our treatment of choice and has led to a recent paradigm shift in burn care at our institution.</w:t>
      </w:r>
    </w:p>
    <w:p w:rsidR="00AE3E37" w:rsidRPr="000D6982" w:rsidRDefault="00A9710C">
      <w:pPr>
        <w:pStyle w:val="Heading3"/>
        <w:spacing w:before="74"/>
        <w:rPr>
          <w:rFonts w:asciiTheme="majorHAnsi" w:hAnsiTheme="majorHAnsi"/>
        </w:rPr>
      </w:pPr>
      <w:r w:rsidRPr="000D6982">
        <w:rPr>
          <w:rFonts w:asciiTheme="majorHAnsi" w:hAnsiTheme="majorHAnsi"/>
          <w:b w:val="0"/>
        </w:rPr>
        <w:br w:type="column"/>
      </w:r>
      <w:r w:rsidRPr="000D6982">
        <w:rPr>
          <w:rFonts w:asciiTheme="majorHAnsi" w:hAnsiTheme="majorHAnsi"/>
          <w:color w:val="BF5A14"/>
        </w:rPr>
        <w:t>Image</w:t>
      </w:r>
    </w:p>
    <w:p w:rsidR="00707C8D" w:rsidRDefault="00515D85">
      <w:pPr>
        <w:pStyle w:val="BodyText"/>
        <w:spacing w:before="2"/>
        <w:rPr>
          <w:rFonts w:asciiTheme="majorHAnsi" w:hAnsiTheme="majorHAnsi"/>
          <w:b/>
          <w:sz w:val="16"/>
        </w:rPr>
      </w:pPr>
      <w:r w:rsidRPr="00515D85">
        <w:rPr>
          <w:rFonts w:asciiTheme="majorHAnsi" w:hAnsiTheme="majorHAnsi"/>
          <w:b/>
          <w:noProof/>
          <w:sz w:val="16"/>
        </w:rPr>
        <w:drawing>
          <wp:inline distT="0" distB="0" distL="0" distR="0">
            <wp:extent cx="3165475" cy="2374106"/>
            <wp:effectExtent l="25400" t="0" r="952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165475" cy="2374106"/>
                    </a:xfrm>
                    <a:prstGeom prst="rect">
                      <a:avLst/>
                    </a:prstGeom>
                    <a:noFill/>
                    <a:ln w="9525">
                      <a:noFill/>
                      <a:miter lim="800000"/>
                      <a:headEnd/>
                      <a:tailEnd/>
                    </a:ln>
                  </pic:spPr>
                </pic:pic>
              </a:graphicData>
            </a:graphic>
          </wp:inline>
        </w:drawing>
      </w:r>
    </w:p>
    <w:p w:rsidR="00AE3E37" w:rsidRPr="000D6982" w:rsidRDefault="00515D85">
      <w:pPr>
        <w:pStyle w:val="BodyText"/>
        <w:spacing w:before="2"/>
        <w:rPr>
          <w:rFonts w:asciiTheme="majorHAnsi" w:hAnsiTheme="majorHAnsi"/>
          <w:b/>
          <w:sz w:val="16"/>
        </w:rPr>
      </w:pPr>
      <w:r>
        <w:rPr>
          <w:rFonts w:asciiTheme="majorHAnsi" w:hAnsiTheme="majorHAnsi"/>
          <w:b/>
          <w:sz w:val="16"/>
        </w:rPr>
        <w:t>Figure - BTM result from 4</w:t>
      </w:r>
      <w:r w:rsidRPr="00515D85">
        <w:rPr>
          <w:rFonts w:asciiTheme="majorHAnsi" w:hAnsiTheme="majorHAnsi"/>
          <w:b/>
          <w:sz w:val="16"/>
          <w:vertAlign w:val="superscript"/>
        </w:rPr>
        <w:t>th</w:t>
      </w:r>
      <w:r>
        <w:rPr>
          <w:rFonts w:asciiTheme="majorHAnsi" w:hAnsiTheme="majorHAnsi"/>
          <w:b/>
          <w:sz w:val="16"/>
        </w:rPr>
        <w:t xml:space="preserve"> degree burn injury</w:t>
      </w:r>
    </w:p>
    <w:p w:rsidR="005973B9" w:rsidRPr="000D6982" w:rsidRDefault="00707C8D" w:rsidP="005973B9">
      <w:pPr>
        <w:spacing w:line="204" w:lineRule="exact"/>
        <w:rPr>
          <w:rFonts w:asciiTheme="majorHAnsi" w:hAnsiTheme="majorHAnsi"/>
          <w:b/>
          <w:sz w:val="20"/>
        </w:rPr>
      </w:pPr>
      <w:r>
        <w:rPr>
          <w:rFonts w:asciiTheme="majorHAnsi" w:hAnsiTheme="majorHAnsi"/>
          <w:b/>
          <w:color w:val="BF5A14"/>
          <w:sz w:val="20"/>
        </w:rPr>
        <w:br/>
        <w:t>Recent Publications</w:t>
      </w:r>
    </w:p>
    <w:p w:rsidR="007C3EEA" w:rsidRPr="00A471F8" w:rsidRDefault="007C3EEA" w:rsidP="007C3EEA">
      <w:pPr>
        <w:jc w:val="both"/>
        <w:rPr>
          <w:rFonts w:ascii="Cambria" w:hAnsi="Cambria"/>
          <w:sz w:val="18"/>
          <w:szCs w:val="24"/>
        </w:rPr>
      </w:pPr>
      <w:r w:rsidRPr="00A471F8">
        <w:rPr>
          <w:rFonts w:ascii="Cambria" w:hAnsi="Cambria"/>
          <w:sz w:val="18"/>
          <w:szCs w:val="24"/>
        </w:rPr>
        <w:t xml:space="preserve">1. JE Greenwood, MJD </w:t>
      </w:r>
      <w:proofErr w:type="spellStart"/>
      <w:r w:rsidRPr="00A471F8">
        <w:rPr>
          <w:rFonts w:ascii="Cambria" w:hAnsi="Cambria"/>
          <w:sz w:val="18"/>
          <w:szCs w:val="24"/>
        </w:rPr>
        <w:t>Wagstaff</w:t>
      </w:r>
      <w:proofErr w:type="spellEnd"/>
      <w:r w:rsidRPr="00A471F8">
        <w:rPr>
          <w:rFonts w:ascii="Cambria" w:hAnsi="Cambria"/>
          <w:sz w:val="18"/>
          <w:szCs w:val="24"/>
        </w:rPr>
        <w:t xml:space="preserve">. ‘The use of biodegradable polyurethane in the development of dermal scaffolds’ Chapter 22 </w:t>
      </w:r>
      <w:r w:rsidRPr="00A471F8">
        <w:rPr>
          <w:rFonts w:ascii="Cambria" w:hAnsi="Cambria"/>
          <w:sz w:val="18"/>
          <w:szCs w:val="24"/>
          <w:u w:val="single"/>
        </w:rPr>
        <w:t>In</w:t>
      </w:r>
      <w:r w:rsidRPr="00A471F8">
        <w:rPr>
          <w:rFonts w:ascii="Cambria" w:hAnsi="Cambria"/>
          <w:sz w:val="18"/>
          <w:szCs w:val="24"/>
        </w:rPr>
        <w:t xml:space="preserve"> Cooper SL &amp; Guan J (</w:t>
      </w:r>
      <w:proofErr w:type="spellStart"/>
      <w:r w:rsidRPr="00A471F8">
        <w:rPr>
          <w:rFonts w:ascii="Cambria" w:hAnsi="Cambria"/>
          <w:sz w:val="18"/>
          <w:szCs w:val="24"/>
        </w:rPr>
        <w:t>Eds</w:t>
      </w:r>
      <w:proofErr w:type="spellEnd"/>
      <w:r w:rsidRPr="00A471F8">
        <w:rPr>
          <w:rFonts w:ascii="Cambria" w:hAnsi="Cambria"/>
          <w:sz w:val="18"/>
          <w:szCs w:val="24"/>
        </w:rPr>
        <w:t xml:space="preserve">) ‘Advances in Polyurethane Biomaterials’ 2016. </w:t>
      </w:r>
      <w:proofErr w:type="spellStart"/>
      <w:r w:rsidRPr="00A471F8">
        <w:rPr>
          <w:rFonts w:ascii="Cambria" w:hAnsi="Cambria"/>
          <w:sz w:val="18"/>
          <w:szCs w:val="24"/>
        </w:rPr>
        <w:t>Woodhead</w:t>
      </w:r>
      <w:proofErr w:type="spellEnd"/>
      <w:r w:rsidRPr="00A471F8">
        <w:rPr>
          <w:rFonts w:ascii="Cambria" w:hAnsi="Cambria"/>
          <w:sz w:val="18"/>
          <w:szCs w:val="24"/>
        </w:rPr>
        <w:t xml:space="preserve"> Publishing Series in Biomaterials,  (Elsevier Inc.), </w:t>
      </w:r>
      <w:proofErr w:type="spellStart"/>
      <w:r w:rsidRPr="00A471F8">
        <w:rPr>
          <w:rFonts w:ascii="Cambria" w:hAnsi="Cambria"/>
          <w:sz w:val="18"/>
          <w:szCs w:val="24"/>
        </w:rPr>
        <w:t>Duxford</w:t>
      </w:r>
      <w:proofErr w:type="spellEnd"/>
      <w:r w:rsidRPr="00A471F8">
        <w:rPr>
          <w:rFonts w:ascii="Cambria" w:hAnsi="Cambria"/>
          <w:sz w:val="18"/>
          <w:szCs w:val="24"/>
        </w:rPr>
        <w:t xml:space="preserve">, UK. ISBN:978-0-08-100614-6. </w:t>
      </w:r>
    </w:p>
    <w:p w:rsidR="007C3EEA" w:rsidRPr="00A471F8" w:rsidRDefault="007C3EEA" w:rsidP="007C3EEA">
      <w:pPr>
        <w:jc w:val="both"/>
        <w:rPr>
          <w:rFonts w:ascii="Cambria" w:hAnsi="Cambria" w:cs="Times New Roman"/>
          <w:sz w:val="18"/>
          <w:szCs w:val="20"/>
        </w:rPr>
      </w:pPr>
      <w:r w:rsidRPr="00A471F8">
        <w:rPr>
          <w:rFonts w:ascii="Cambria" w:hAnsi="Cambria"/>
          <w:sz w:val="18"/>
          <w:szCs w:val="24"/>
        </w:rPr>
        <w:t xml:space="preserve">2. JE Greenwood. ‘Hybrid biomaterials for skin tissue engineering’ Chapter 9 </w:t>
      </w:r>
      <w:r w:rsidRPr="00A471F8">
        <w:rPr>
          <w:rFonts w:ascii="Cambria" w:hAnsi="Cambria"/>
          <w:sz w:val="18"/>
          <w:szCs w:val="24"/>
          <w:u w:val="single"/>
        </w:rPr>
        <w:t>In</w:t>
      </w:r>
      <w:r w:rsidRPr="00A471F8">
        <w:rPr>
          <w:rFonts w:ascii="Cambria" w:hAnsi="Cambria"/>
          <w:sz w:val="18"/>
          <w:szCs w:val="24"/>
        </w:rPr>
        <w:t xml:space="preserve"> </w:t>
      </w:r>
      <w:proofErr w:type="spellStart"/>
      <w:r w:rsidRPr="00A471F8">
        <w:rPr>
          <w:rFonts w:ascii="Cambria" w:hAnsi="Cambria"/>
          <w:sz w:val="18"/>
          <w:szCs w:val="24"/>
        </w:rPr>
        <w:t>Albanna</w:t>
      </w:r>
      <w:proofErr w:type="spellEnd"/>
      <w:r w:rsidRPr="00A471F8">
        <w:rPr>
          <w:rFonts w:ascii="Cambria" w:hAnsi="Cambria"/>
          <w:sz w:val="18"/>
          <w:szCs w:val="24"/>
        </w:rPr>
        <w:t xml:space="preserve"> MZ &amp; Holmes JH IV (</w:t>
      </w:r>
      <w:proofErr w:type="spellStart"/>
      <w:r w:rsidRPr="00A471F8">
        <w:rPr>
          <w:rFonts w:ascii="Cambria" w:hAnsi="Cambria"/>
          <w:sz w:val="18"/>
          <w:szCs w:val="24"/>
        </w:rPr>
        <w:t>Eds</w:t>
      </w:r>
      <w:proofErr w:type="spellEnd"/>
      <w:r w:rsidRPr="00A471F8">
        <w:rPr>
          <w:rFonts w:ascii="Cambria" w:hAnsi="Cambria"/>
          <w:sz w:val="18"/>
          <w:szCs w:val="24"/>
        </w:rPr>
        <w:t>) ‘Skin Tissue Engineering and Regenerative Medicine’ 2016. Academic Press (Elsevier Inc.), London, UK. ISBN:978-0-12-801654-1.</w:t>
      </w:r>
      <w:r w:rsidRPr="00A471F8">
        <w:rPr>
          <w:rFonts w:ascii="Cambria" w:hAnsi="Cambria"/>
          <w:sz w:val="18"/>
          <w:lang w:val="en-AU"/>
        </w:rPr>
        <w:t xml:space="preserve"> </w:t>
      </w:r>
    </w:p>
    <w:p w:rsidR="007C3EEA" w:rsidRPr="00A471F8" w:rsidRDefault="007C3EEA" w:rsidP="007C3EEA">
      <w:pPr>
        <w:jc w:val="both"/>
        <w:rPr>
          <w:rFonts w:ascii="Cambria" w:hAnsi="Cambria" w:cs="Arial"/>
          <w:sz w:val="18"/>
          <w:szCs w:val="24"/>
          <w:lang w:val="en-AU"/>
        </w:rPr>
      </w:pPr>
      <w:r w:rsidRPr="00A471F8">
        <w:rPr>
          <w:rFonts w:ascii="Cambria" w:hAnsi="Cambria" w:cs="SMinionTabEE-Regular"/>
          <w:sz w:val="18"/>
          <w:szCs w:val="24"/>
          <w:lang w:val="en-AU" w:eastAsia="en-AU"/>
        </w:rPr>
        <w:t xml:space="preserve">3. </w:t>
      </w:r>
      <w:r w:rsidRPr="00A471F8">
        <w:rPr>
          <w:rFonts w:ascii="Cambria" w:hAnsi="Cambria" w:cs="Arial"/>
          <w:sz w:val="18"/>
          <w:szCs w:val="24"/>
          <w:lang w:val="en-AU"/>
        </w:rPr>
        <w:t xml:space="preserve">JE Greenwood, BL </w:t>
      </w:r>
      <w:proofErr w:type="spellStart"/>
      <w:r w:rsidRPr="00A471F8">
        <w:rPr>
          <w:rFonts w:ascii="Cambria" w:hAnsi="Cambria" w:cs="Arial"/>
          <w:sz w:val="18"/>
          <w:szCs w:val="24"/>
          <w:lang w:val="en-AU"/>
        </w:rPr>
        <w:t>Dearman</w:t>
      </w:r>
      <w:proofErr w:type="spellEnd"/>
      <w:r w:rsidRPr="00A471F8">
        <w:rPr>
          <w:rFonts w:ascii="Cambria" w:hAnsi="Cambria" w:cs="Arial"/>
          <w:sz w:val="18"/>
          <w:szCs w:val="24"/>
          <w:lang w:val="en-AU"/>
        </w:rPr>
        <w:t xml:space="preserve"> ‘</w:t>
      </w:r>
      <w:r w:rsidRPr="00A471F8">
        <w:rPr>
          <w:rFonts w:ascii="Cambria" w:hAnsi="Cambria" w:cs="Palatino-Roman"/>
          <w:sz w:val="18"/>
          <w:szCs w:val="18"/>
        </w:rPr>
        <w:t xml:space="preserve">Split-skin graft application over an integrating, biodegradable </w:t>
      </w:r>
      <w:proofErr w:type="spellStart"/>
      <w:r w:rsidRPr="00A471F8">
        <w:rPr>
          <w:rFonts w:ascii="Cambria" w:hAnsi="Cambria" w:cs="Palatino-Roman"/>
          <w:color w:val="000000"/>
          <w:sz w:val="18"/>
          <w:szCs w:val="18"/>
        </w:rPr>
        <w:t>temporising</w:t>
      </w:r>
      <w:proofErr w:type="spellEnd"/>
      <w:r w:rsidRPr="00A471F8">
        <w:rPr>
          <w:rFonts w:ascii="Cambria" w:hAnsi="Cambria" w:cs="Palatino-Roman"/>
          <w:color w:val="FF0000"/>
          <w:sz w:val="18"/>
          <w:szCs w:val="18"/>
        </w:rPr>
        <w:t xml:space="preserve"> </w:t>
      </w:r>
      <w:r w:rsidRPr="00A471F8">
        <w:rPr>
          <w:rFonts w:ascii="Cambria" w:hAnsi="Cambria" w:cs="Palatino-Roman"/>
          <w:sz w:val="18"/>
          <w:szCs w:val="18"/>
        </w:rPr>
        <w:t>polymer matrix: Immediate and delayed’</w:t>
      </w:r>
      <w:r w:rsidRPr="00A471F8">
        <w:rPr>
          <w:rFonts w:ascii="Cambria" w:hAnsi="Cambria" w:cs="Arial"/>
          <w:sz w:val="18"/>
          <w:szCs w:val="24"/>
          <w:lang w:val="en-AU"/>
        </w:rPr>
        <w:t xml:space="preserve"> </w:t>
      </w:r>
      <w:r w:rsidRPr="00A471F8">
        <w:rPr>
          <w:rFonts w:ascii="Cambria" w:hAnsi="Cambria" w:cs="Palatino-Roman"/>
          <w:sz w:val="18"/>
          <w:szCs w:val="18"/>
        </w:rPr>
        <w:t>Journal of Burn Care and Research Jan/Feb2012;33(1):7-19.</w:t>
      </w:r>
    </w:p>
    <w:p w:rsidR="007C3EEA" w:rsidRPr="00A471F8" w:rsidRDefault="007C3EEA" w:rsidP="007C3EEA">
      <w:pPr>
        <w:jc w:val="both"/>
        <w:rPr>
          <w:rFonts w:ascii="Cambria" w:hAnsi="Cambria" w:cs="Palatino-Roman"/>
          <w:sz w:val="18"/>
          <w:szCs w:val="18"/>
        </w:rPr>
      </w:pPr>
      <w:r w:rsidRPr="00A471F8">
        <w:rPr>
          <w:rFonts w:ascii="Cambria" w:hAnsi="Cambria" w:cs="Palatino-Roman"/>
          <w:sz w:val="18"/>
          <w:szCs w:val="18"/>
        </w:rPr>
        <w:t xml:space="preserve">4. JE Greenwood, BL </w:t>
      </w:r>
      <w:proofErr w:type="spellStart"/>
      <w:r w:rsidRPr="00A471F8">
        <w:rPr>
          <w:rFonts w:ascii="Cambria" w:hAnsi="Cambria" w:cs="Palatino-Roman"/>
          <w:sz w:val="18"/>
          <w:szCs w:val="18"/>
        </w:rPr>
        <w:t>Dearman</w:t>
      </w:r>
      <w:proofErr w:type="spellEnd"/>
      <w:r w:rsidRPr="00A471F8">
        <w:rPr>
          <w:rFonts w:ascii="Cambria" w:hAnsi="Cambria" w:cs="Palatino-Roman"/>
          <w:sz w:val="18"/>
          <w:szCs w:val="18"/>
        </w:rPr>
        <w:t xml:space="preserve"> ‘Comparison of a sealed, polymer foam biodegradable </w:t>
      </w:r>
      <w:proofErr w:type="spellStart"/>
      <w:r w:rsidRPr="00A471F8">
        <w:rPr>
          <w:rFonts w:ascii="Cambria" w:hAnsi="Cambria" w:cs="Palatino-Roman"/>
          <w:sz w:val="18"/>
          <w:szCs w:val="18"/>
        </w:rPr>
        <w:t>temporising</w:t>
      </w:r>
      <w:proofErr w:type="spellEnd"/>
      <w:r w:rsidRPr="00A471F8">
        <w:rPr>
          <w:rFonts w:ascii="Cambria" w:hAnsi="Cambria" w:cs="Palatino-Roman"/>
          <w:sz w:val="18"/>
          <w:szCs w:val="18"/>
        </w:rPr>
        <w:t xml:space="preserve"> matrix against Integra™ dermal regeneration template in a porcine wound model’ </w:t>
      </w:r>
      <w:r w:rsidRPr="00A471F8">
        <w:rPr>
          <w:rFonts w:ascii="Cambria" w:hAnsi="Cambria"/>
          <w:sz w:val="18"/>
          <w:szCs w:val="24"/>
        </w:rPr>
        <w:t>Journal of Burn Care and Research Jan/Feb2012;33(1):163-173.</w:t>
      </w:r>
    </w:p>
    <w:p w:rsidR="007C3EEA" w:rsidRPr="00A471F8" w:rsidRDefault="007C3EEA" w:rsidP="007C3EEA">
      <w:pPr>
        <w:jc w:val="both"/>
        <w:rPr>
          <w:rFonts w:ascii="Cambria" w:hAnsi="Cambria" w:cs="Arial"/>
          <w:sz w:val="18"/>
          <w:szCs w:val="24"/>
        </w:rPr>
      </w:pPr>
      <w:r w:rsidRPr="00A471F8">
        <w:rPr>
          <w:rFonts w:ascii="Cambria" w:hAnsi="Cambria" w:cs="Arial"/>
          <w:sz w:val="18"/>
          <w:szCs w:val="24"/>
        </w:rPr>
        <w:t xml:space="preserve">5. BL </w:t>
      </w:r>
      <w:proofErr w:type="spellStart"/>
      <w:r w:rsidRPr="00A471F8">
        <w:rPr>
          <w:rFonts w:ascii="Cambria" w:hAnsi="Cambria" w:cs="Arial"/>
          <w:sz w:val="18"/>
          <w:szCs w:val="24"/>
        </w:rPr>
        <w:t>Dearman</w:t>
      </w:r>
      <w:proofErr w:type="spellEnd"/>
      <w:r w:rsidRPr="00A471F8">
        <w:rPr>
          <w:rFonts w:ascii="Cambria" w:hAnsi="Cambria" w:cs="Arial"/>
          <w:sz w:val="18"/>
          <w:szCs w:val="24"/>
        </w:rPr>
        <w:t xml:space="preserve">, K Stefani, A Li, JE Greenwood </w:t>
      </w:r>
      <w:r w:rsidRPr="00A471F8">
        <w:rPr>
          <w:rFonts w:ascii="Cambria" w:hAnsi="Cambria"/>
          <w:sz w:val="18"/>
          <w:szCs w:val="52"/>
        </w:rPr>
        <w:t xml:space="preserve">‘Take’ Of A Polymer-Based </w:t>
      </w:r>
      <w:proofErr w:type="spellStart"/>
      <w:r w:rsidRPr="00A471F8">
        <w:rPr>
          <w:rFonts w:ascii="Cambria" w:hAnsi="Cambria"/>
          <w:sz w:val="18"/>
          <w:szCs w:val="52"/>
        </w:rPr>
        <w:t>Autologous</w:t>
      </w:r>
      <w:proofErr w:type="spellEnd"/>
      <w:r w:rsidRPr="00A471F8">
        <w:rPr>
          <w:rFonts w:ascii="Cambria" w:hAnsi="Cambria"/>
          <w:sz w:val="18"/>
          <w:szCs w:val="52"/>
        </w:rPr>
        <w:t xml:space="preserve"> Cultured Composite ‘Skin’ On An Integrated </w:t>
      </w:r>
      <w:proofErr w:type="spellStart"/>
      <w:r w:rsidRPr="00A471F8">
        <w:rPr>
          <w:rFonts w:ascii="Cambria" w:hAnsi="Cambria"/>
          <w:sz w:val="18"/>
          <w:szCs w:val="52"/>
        </w:rPr>
        <w:t>Temporising</w:t>
      </w:r>
      <w:proofErr w:type="spellEnd"/>
      <w:r w:rsidRPr="00A471F8">
        <w:rPr>
          <w:rFonts w:ascii="Cambria" w:hAnsi="Cambria"/>
          <w:sz w:val="18"/>
          <w:szCs w:val="52"/>
        </w:rPr>
        <w:t xml:space="preserve"> Dermal Matrix: Proof Of Concept’ Journal of Burn Care and Research 2013;34(1):151-160. </w:t>
      </w:r>
    </w:p>
    <w:p w:rsidR="007C3EEA" w:rsidRPr="00A471F8" w:rsidRDefault="007C3EEA" w:rsidP="007C3EEA">
      <w:pPr>
        <w:widowControl/>
        <w:tabs>
          <w:tab w:val="left" w:pos="1134"/>
          <w:tab w:val="left" w:pos="2552"/>
          <w:tab w:val="left" w:pos="7380"/>
        </w:tabs>
        <w:ind w:right="-8"/>
        <w:jc w:val="both"/>
        <w:rPr>
          <w:rFonts w:ascii="Cambria" w:hAnsi="Cambria"/>
          <w:sz w:val="18"/>
        </w:rPr>
      </w:pPr>
      <w:r w:rsidRPr="00A471F8">
        <w:rPr>
          <w:rFonts w:ascii="Cambria" w:hAnsi="Cambria"/>
          <w:sz w:val="18"/>
        </w:rPr>
        <w:t xml:space="preserve">6. BL </w:t>
      </w:r>
      <w:proofErr w:type="spellStart"/>
      <w:r w:rsidRPr="00A471F8">
        <w:rPr>
          <w:rFonts w:ascii="Cambria" w:hAnsi="Cambria"/>
          <w:sz w:val="18"/>
        </w:rPr>
        <w:t>Dearman</w:t>
      </w:r>
      <w:proofErr w:type="spellEnd"/>
      <w:r w:rsidRPr="00A471F8">
        <w:rPr>
          <w:rFonts w:ascii="Cambria" w:hAnsi="Cambria"/>
          <w:sz w:val="18"/>
        </w:rPr>
        <w:t>, A Li, JE Greenwood ‘</w:t>
      </w:r>
      <w:proofErr w:type="spellStart"/>
      <w:r w:rsidRPr="00A471F8">
        <w:rPr>
          <w:rFonts w:ascii="Cambria" w:hAnsi="Cambria"/>
          <w:sz w:val="18"/>
        </w:rPr>
        <w:t>Optimisation</w:t>
      </w:r>
      <w:proofErr w:type="spellEnd"/>
      <w:r w:rsidRPr="00A471F8">
        <w:rPr>
          <w:rFonts w:ascii="Cambria" w:hAnsi="Cambria"/>
          <w:sz w:val="18"/>
        </w:rPr>
        <w:t xml:space="preserve"> of a Polyurethane Dermal Matrix and Experience with a Polymer-based Cultured Composite Skin’ Journal of Burn Care and Research 2014;35(5):437-448.</w:t>
      </w:r>
    </w:p>
    <w:p w:rsidR="007C3EEA" w:rsidRPr="00A471F8" w:rsidRDefault="007C3EEA" w:rsidP="007C3EEA">
      <w:pPr>
        <w:autoSpaceDE w:val="0"/>
        <w:autoSpaceDN w:val="0"/>
        <w:adjustRightInd w:val="0"/>
        <w:jc w:val="both"/>
        <w:rPr>
          <w:rFonts w:ascii="Cambria" w:hAnsi="Cambria"/>
          <w:sz w:val="18"/>
        </w:rPr>
      </w:pPr>
      <w:r w:rsidRPr="00A471F8">
        <w:rPr>
          <w:rFonts w:ascii="Cambria" w:hAnsi="Cambria"/>
          <w:sz w:val="18"/>
        </w:rPr>
        <w:t>11. JE Greenwood ‘The evolution of acute burn care - retiring the split skin graft (</w:t>
      </w:r>
      <w:proofErr w:type="spellStart"/>
      <w:r w:rsidRPr="00A471F8">
        <w:rPr>
          <w:rFonts w:ascii="Cambria" w:hAnsi="Cambria"/>
          <w:sz w:val="18"/>
        </w:rPr>
        <w:t>Hunterian</w:t>
      </w:r>
      <w:proofErr w:type="spellEnd"/>
      <w:r w:rsidRPr="00A471F8">
        <w:rPr>
          <w:rFonts w:ascii="Cambria" w:hAnsi="Cambria"/>
          <w:sz w:val="18"/>
        </w:rPr>
        <w:t xml:space="preserve"> Lecture)’ Annals of the Royal College of Surgeons of England 2017;</w:t>
      </w:r>
      <w:r w:rsidRPr="00A471F8">
        <w:rPr>
          <w:rFonts w:ascii="Cambria" w:hAnsi="Cambria"/>
          <w:sz w:val="18"/>
          <w:szCs w:val="16"/>
        </w:rPr>
        <w:t xml:space="preserve">99:432-438. </w:t>
      </w:r>
      <w:r w:rsidRPr="00A471F8">
        <w:rPr>
          <w:rFonts w:ascii="Cambria" w:hAnsi="Cambria"/>
          <w:sz w:val="18"/>
        </w:rPr>
        <w:t xml:space="preserve">Available at </w:t>
      </w:r>
      <w:hyperlink r:id="rId10" w:history="1">
        <w:r w:rsidRPr="00A471F8">
          <w:rPr>
            <w:rStyle w:val="Hyperlink"/>
            <w:rFonts w:ascii="Cambria" w:hAnsi="Cambria"/>
            <w:sz w:val="18"/>
          </w:rPr>
          <w:t>https://doi.org/10.1308/rcsann.2017.0110</w:t>
        </w:r>
      </w:hyperlink>
      <w:r w:rsidRPr="00A471F8">
        <w:rPr>
          <w:rFonts w:ascii="Cambria" w:hAnsi="Cambria"/>
          <w:sz w:val="18"/>
        </w:rPr>
        <w:t>.</w:t>
      </w:r>
    </w:p>
    <w:p w:rsidR="007C3EEA" w:rsidRPr="00A471F8" w:rsidRDefault="007C3EEA" w:rsidP="007C3EEA">
      <w:pPr>
        <w:autoSpaceDE w:val="0"/>
        <w:autoSpaceDN w:val="0"/>
        <w:adjustRightInd w:val="0"/>
        <w:jc w:val="both"/>
        <w:rPr>
          <w:rFonts w:ascii="Cambria" w:eastAsiaTheme="minorHAnsi" w:hAnsi="Cambria"/>
          <w:sz w:val="18"/>
          <w:szCs w:val="21"/>
        </w:rPr>
      </w:pPr>
      <w:r w:rsidRPr="00A471F8">
        <w:rPr>
          <w:rFonts w:ascii="Cambria" w:hAnsi="Cambria"/>
          <w:sz w:val="18"/>
        </w:rPr>
        <w:t xml:space="preserve">12. JE Greenwood, BJ Schmitt, MJ </w:t>
      </w:r>
      <w:proofErr w:type="spellStart"/>
      <w:r w:rsidRPr="00A471F8">
        <w:rPr>
          <w:rFonts w:ascii="Cambria" w:hAnsi="Cambria"/>
          <w:sz w:val="18"/>
        </w:rPr>
        <w:t>Wagstaff</w:t>
      </w:r>
      <w:proofErr w:type="spellEnd"/>
      <w:r w:rsidRPr="00A471F8">
        <w:rPr>
          <w:rFonts w:ascii="Cambria" w:hAnsi="Cambria"/>
          <w:sz w:val="18"/>
        </w:rPr>
        <w:t xml:space="preserve"> ‘</w:t>
      </w:r>
      <w:r w:rsidRPr="00A471F8">
        <w:rPr>
          <w:rFonts w:ascii="Cambria" w:eastAsiaTheme="minorHAnsi" w:hAnsi="Cambria"/>
          <w:sz w:val="18"/>
          <w:szCs w:val="21"/>
        </w:rPr>
        <w:t xml:space="preserve">Experience with a synthetic </w:t>
      </w:r>
      <w:proofErr w:type="spellStart"/>
      <w:r w:rsidRPr="00A471F8">
        <w:rPr>
          <w:rFonts w:ascii="Cambria" w:eastAsiaTheme="minorHAnsi" w:hAnsi="Cambria"/>
          <w:sz w:val="18"/>
          <w:szCs w:val="21"/>
        </w:rPr>
        <w:t>bilayer</w:t>
      </w:r>
      <w:proofErr w:type="spellEnd"/>
      <w:r w:rsidRPr="00A471F8">
        <w:rPr>
          <w:rFonts w:ascii="Cambria" w:eastAsiaTheme="minorHAnsi" w:hAnsi="Cambria"/>
          <w:sz w:val="18"/>
          <w:szCs w:val="21"/>
        </w:rPr>
        <w:t xml:space="preserve"> biodegradable temporizing matrix in significant burn injury’ Burns Open </w:t>
      </w:r>
      <w:r w:rsidR="003D250F">
        <w:rPr>
          <w:rFonts w:ascii="Cambria" w:eastAsiaTheme="minorHAnsi" w:hAnsi="Cambria"/>
          <w:sz w:val="18"/>
          <w:szCs w:val="21"/>
        </w:rPr>
        <w:t>Jan 2018</w:t>
      </w:r>
      <w:r w:rsidRPr="00A471F8">
        <w:rPr>
          <w:rFonts w:ascii="Cambria" w:eastAsiaTheme="minorHAnsi" w:hAnsi="Cambria"/>
          <w:sz w:val="18"/>
          <w:szCs w:val="21"/>
        </w:rPr>
        <w:t>;2</w:t>
      </w:r>
      <w:r w:rsidR="003D250F">
        <w:rPr>
          <w:rFonts w:ascii="Cambria" w:eastAsiaTheme="minorHAnsi" w:hAnsi="Cambria"/>
          <w:sz w:val="18"/>
          <w:szCs w:val="21"/>
        </w:rPr>
        <w:t>(1)</w:t>
      </w:r>
      <w:r w:rsidRPr="00A471F8">
        <w:rPr>
          <w:rFonts w:ascii="Cambria" w:eastAsiaTheme="minorHAnsi" w:hAnsi="Cambria"/>
          <w:sz w:val="18"/>
          <w:szCs w:val="21"/>
        </w:rPr>
        <w:t>:</w:t>
      </w:r>
      <w:r w:rsidR="003D250F">
        <w:rPr>
          <w:rFonts w:ascii="Cambria" w:eastAsiaTheme="minorHAnsi" w:hAnsi="Cambria"/>
          <w:sz w:val="18"/>
          <w:szCs w:val="21"/>
        </w:rPr>
        <w:t>17-34</w:t>
      </w:r>
      <w:r w:rsidRPr="00A471F8">
        <w:rPr>
          <w:rFonts w:ascii="Cambria" w:eastAsiaTheme="minorHAnsi" w:hAnsi="Cambria"/>
          <w:sz w:val="18"/>
          <w:szCs w:val="21"/>
        </w:rPr>
        <w:t>.</w:t>
      </w:r>
    </w:p>
    <w:p w:rsidR="00AE3E37" w:rsidRPr="007C3EEA" w:rsidRDefault="00AE3E37" w:rsidP="007C3EEA">
      <w:pPr>
        <w:rPr>
          <w:rFonts w:asciiTheme="majorHAnsi" w:hAnsiTheme="majorHAnsi"/>
          <w:sz w:val="18"/>
          <w:szCs w:val="24"/>
        </w:rPr>
      </w:pP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gutter="0"/>
          <w:cols w:num="2" w:equalWidth="0">
            <w:col w:w="5214" w:space="138"/>
            <w:col w:w="5338"/>
          </w:cols>
        </w:sectPr>
      </w:pPr>
      <w:r w:rsidRPr="000D6982">
        <w:rPr>
          <w:rFonts w:asciiTheme="majorHAnsi" w:hAnsiTheme="majorHAnsi"/>
        </w:rPr>
        <w:t xml:space="preserve">   </w:t>
      </w:r>
    </w:p>
    <w:p w:rsidR="00AE3E37" w:rsidRPr="000D6982" w:rsidRDefault="00AE3E37">
      <w:pPr>
        <w:pStyle w:val="BodyText"/>
        <w:rPr>
          <w:rFonts w:asciiTheme="majorHAnsi" w:hAnsiTheme="majorHAnsi"/>
          <w:sz w:val="20"/>
        </w:rPr>
      </w:pPr>
    </w:p>
    <w:p w:rsidR="00AE3E37" w:rsidRPr="000D6982" w:rsidRDefault="00204717">
      <w:pPr>
        <w:pStyle w:val="BodyText"/>
        <w:spacing w:line="40" w:lineRule="exact"/>
        <w:ind w:left="2202"/>
        <w:rPr>
          <w:rFonts w:asciiTheme="majorHAnsi" w:hAnsiTheme="majorHAnsi"/>
          <w:sz w:val="4"/>
        </w:rPr>
      </w:pPr>
      <w:r w:rsidRPr="00204717">
        <w:rPr>
          <w:rFonts w:asciiTheme="majorHAnsi" w:hAnsiTheme="majorHAnsi"/>
          <w:noProof/>
          <w:sz w:val="4"/>
          <w:lang w:val="en-IN" w:eastAsia="en-IN"/>
        </w:rPr>
      </w:r>
      <w:r w:rsidRPr="00204717">
        <w:rPr>
          <w:rFonts w:asciiTheme="majorHAnsi" w:hAnsiTheme="majorHAns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041A28" w:rsidRDefault="00A765F2" w:rsidP="00404E5B">
      <w:pPr>
        <w:spacing w:before="92"/>
        <w:ind w:right="4234"/>
        <w:rPr>
          <w:rFonts w:asciiTheme="majorHAnsi" w:hAnsiTheme="majorHAnsi"/>
          <w:sz w:val="18"/>
          <w:szCs w:val="18"/>
        </w:rPr>
      </w:pPr>
      <w:r>
        <w:rPr>
          <w:rFonts w:ascii="Goudy Old Style" w:hAnsi="Goudy Old Style"/>
          <w:i/>
          <w:noProof/>
        </w:rPr>
        <w:drawing>
          <wp:anchor distT="0" distB="0" distL="114300" distR="114300" simplePos="0" relativeHeight="251658240" behindDoc="0" locked="0" layoutInCell="1" allowOverlap="1">
            <wp:simplePos x="0" y="0"/>
            <wp:positionH relativeFrom="column">
              <wp:posOffset>27940</wp:posOffset>
            </wp:positionH>
            <wp:positionV relativeFrom="paragraph">
              <wp:posOffset>53975</wp:posOffset>
            </wp:positionV>
            <wp:extent cx="1089660" cy="1391920"/>
            <wp:effectExtent l="25400" t="0" r="2540" b="0"/>
            <wp:wrapTight wrapText="bothSides">
              <wp:wrapPolygon edited="0">
                <wp:start x="-503" y="0"/>
                <wp:lineTo x="-503" y="21285"/>
                <wp:lineTo x="21650" y="21285"/>
                <wp:lineTo x="21650" y="0"/>
                <wp:lineTo x="-503" y="0"/>
              </wp:wrapPolygon>
            </wp:wrapTight>
            <wp:docPr id="3" name="Picture 3" descr="bio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 pic"/>
                    <pic:cNvPicPr>
                      <a:picLocks noChangeAspect="1" noChangeArrowheads="1"/>
                    </pic:cNvPicPr>
                  </pic:nvPicPr>
                  <pic:blipFill>
                    <a:blip r:embed="rId11"/>
                    <a:srcRect/>
                    <a:stretch>
                      <a:fillRect/>
                    </a:stretch>
                  </pic:blipFill>
                  <pic:spPr bwMode="auto">
                    <a:xfrm>
                      <a:off x="0" y="0"/>
                      <a:ext cx="1089660" cy="1391920"/>
                    </a:xfrm>
                    <a:prstGeom prst="rect">
                      <a:avLst/>
                    </a:prstGeom>
                    <a:noFill/>
                    <a:ln w="9525">
                      <a:noFill/>
                      <a:miter lim="800000"/>
                      <a:headEnd/>
                      <a:tailEnd/>
                    </a:ln>
                  </pic:spPr>
                </pic:pic>
              </a:graphicData>
            </a:graphic>
          </wp:anchor>
        </w:drawing>
      </w:r>
      <w:r w:rsidR="008756E6" w:rsidRPr="000D6982">
        <w:rPr>
          <w:rFonts w:asciiTheme="majorHAnsi" w:hAnsiTheme="majorHAnsi"/>
          <w:noProof/>
        </w:rPr>
        <w:t xml:space="preserve">              </w:t>
      </w:r>
    </w:p>
    <w:p w:rsidR="00AE3E37" w:rsidRPr="00610FA2" w:rsidRDefault="00610FA2">
      <w:pPr>
        <w:pStyle w:val="BodyText"/>
        <w:rPr>
          <w:rFonts w:asciiTheme="majorHAnsi" w:hAnsiTheme="majorHAnsi"/>
        </w:rPr>
      </w:pPr>
      <w:r w:rsidRPr="00610FA2">
        <w:rPr>
          <w:rFonts w:asciiTheme="majorHAnsi" w:hAnsiTheme="majorHAnsi"/>
        </w:rPr>
        <w:t xml:space="preserve">John Greenwood AM is an English-trained plastic surgeon who graduated from the University of Manchester in 1989 and now working full-time in burn care as the Medical Director of the Adult Burn Centre of the Royal Adelaide Hospital in Adelaide, South Australia. He has been developing skin replacement products, </w:t>
      </w:r>
      <w:proofErr w:type="spellStart"/>
      <w:r w:rsidRPr="00610FA2">
        <w:rPr>
          <w:rFonts w:asciiTheme="majorHAnsi" w:hAnsiTheme="majorHAnsi"/>
        </w:rPr>
        <w:t>utilising</w:t>
      </w:r>
      <w:proofErr w:type="spellEnd"/>
      <w:r w:rsidRPr="00610FA2">
        <w:rPr>
          <w:rFonts w:asciiTheme="majorHAnsi" w:hAnsiTheme="majorHAnsi"/>
        </w:rPr>
        <w:t xml:space="preserve"> the </w:t>
      </w:r>
      <w:proofErr w:type="spellStart"/>
      <w:r w:rsidRPr="00610FA2">
        <w:rPr>
          <w:rFonts w:asciiTheme="majorHAnsi" w:hAnsiTheme="majorHAnsi"/>
        </w:rPr>
        <w:t>NovoSorb</w:t>
      </w:r>
      <w:proofErr w:type="spellEnd"/>
      <w:r w:rsidRPr="00610FA2">
        <w:rPr>
          <w:rFonts w:asciiTheme="majorHAnsi" w:hAnsiTheme="majorHAnsi"/>
        </w:rPr>
        <w:t xml:space="preserve"> biodegradable polyurethane platform, since 2004. He was appointed Member of the Order of Australia (AM) following his work leading Australia’s only Burns Assessment Team after the carnage of the 2002 Bali Bombings which killed 202 civilians. He was the 2016 South Australian </w:t>
      </w:r>
      <w:proofErr w:type="spellStart"/>
      <w:r w:rsidRPr="00610FA2">
        <w:rPr>
          <w:rFonts w:asciiTheme="majorHAnsi" w:hAnsiTheme="majorHAnsi"/>
        </w:rPr>
        <w:t>Australian</w:t>
      </w:r>
      <w:proofErr w:type="spellEnd"/>
      <w:r w:rsidRPr="00610FA2">
        <w:rPr>
          <w:rFonts w:asciiTheme="majorHAnsi" w:hAnsiTheme="majorHAnsi"/>
        </w:rPr>
        <w:t xml:space="preserve"> of the Year.</w:t>
      </w: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0D6982" w:rsidRPr="00041A28" w:rsidRDefault="000D6982" w:rsidP="000D6982">
      <w:pPr>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w:t>
      </w:r>
      <w:proofErr w:type="spellStart"/>
      <w:r w:rsidR="00676740">
        <w:rPr>
          <w:rFonts w:asciiTheme="majorHAnsi" w:hAnsiTheme="majorHAnsi"/>
          <w:sz w:val="18"/>
          <w:szCs w:val="18"/>
        </w:rPr>
        <w:t>Burns;BTM;NovoSorb;Polyurethane;Dermal</w:t>
      </w:r>
      <w:proofErr w:type="spellEnd"/>
      <w:r w:rsidR="00676740">
        <w:rPr>
          <w:rFonts w:asciiTheme="majorHAnsi" w:hAnsiTheme="majorHAnsi"/>
          <w:sz w:val="18"/>
          <w:szCs w:val="18"/>
        </w:rPr>
        <w:t xml:space="preserve"> M</w:t>
      </w:r>
      <w:r w:rsidR="003B674E">
        <w:rPr>
          <w:rFonts w:asciiTheme="majorHAnsi" w:hAnsiTheme="majorHAnsi"/>
          <w:sz w:val="18"/>
          <w:szCs w:val="18"/>
        </w:rPr>
        <w:t>atrix</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00610FA2">
        <w:rPr>
          <w:rFonts w:asciiTheme="majorHAnsi" w:hAnsiTheme="majorHAnsi"/>
          <w:b/>
          <w:bCs/>
          <w:sz w:val="18"/>
          <w:szCs w:val="18"/>
        </w:rPr>
        <w:t xml:space="preserve"> </w:t>
      </w:r>
      <w:r w:rsidR="00610FA2">
        <w:rPr>
          <w:rFonts w:asciiTheme="majorHAnsi" w:hAnsiTheme="majorHAnsi"/>
          <w:bCs/>
          <w:sz w:val="18"/>
          <w:szCs w:val="18"/>
        </w:rPr>
        <w:t>Oral</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041A28" w:rsidRDefault="0038123A" w:rsidP="000D6982">
      <w:pPr>
        <w:pStyle w:val="Paragraph"/>
        <w:tabs>
          <w:tab w:val="left" w:pos="2520"/>
        </w:tabs>
        <w:ind w:firstLine="0"/>
        <w:jc w:val="both"/>
        <w:rPr>
          <w:rFonts w:asciiTheme="majorHAnsi" w:hAnsiTheme="majorHAnsi"/>
          <w:sz w:val="18"/>
          <w:szCs w:val="18"/>
        </w:rPr>
      </w:pPr>
      <w:r>
        <w:rPr>
          <w:rFonts w:asciiTheme="majorHAnsi" w:hAnsiTheme="majorHAnsi"/>
          <w:b/>
          <w:bCs/>
          <w:sz w:val="18"/>
          <w:szCs w:val="18"/>
        </w:rPr>
        <w:t xml:space="preserve">Topic: </w:t>
      </w:r>
      <w:r w:rsidR="000D6982" w:rsidRPr="00041A28">
        <w:rPr>
          <w:rFonts w:asciiTheme="majorHAnsi" w:hAnsiTheme="majorHAnsi"/>
          <w:sz w:val="18"/>
          <w:szCs w:val="18"/>
        </w:rPr>
        <w:t>According to the list of topics provided on the web site</w:t>
      </w:r>
    </w:p>
    <w:p w:rsidR="000D6982" w:rsidRPr="00041A28" w:rsidRDefault="000D6982" w:rsidP="000D6982">
      <w:pPr>
        <w:pStyle w:val="Paragraph"/>
        <w:tabs>
          <w:tab w:val="left" w:pos="2520"/>
        </w:tabs>
        <w:ind w:firstLine="0"/>
        <w:jc w:val="both"/>
        <w:rPr>
          <w:rFonts w:asciiTheme="majorHAnsi" w:hAnsiTheme="majorHAnsi"/>
          <w:sz w:val="18"/>
          <w:szCs w:val="18"/>
        </w:rPr>
      </w:pPr>
    </w:p>
    <w:p w:rsidR="003B674E" w:rsidRDefault="000D6982" w:rsidP="003B674E">
      <w:pPr>
        <w:pStyle w:val="Paragraph"/>
        <w:tabs>
          <w:tab w:val="left" w:pos="2977"/>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003B674E">
        <w:rPr>
          <w:rFonts w:asciiTheme="majorHAnsi" w:hAnsiTheme="majorHAnsi"/>
          <w:sz w:val="18"/>
          <w:szCs w:val="18"/>
        </w:rPr>
        <w:tab/>
        <w:t>Professor Dr John Edward Greenwood AM</w:t>
      </w:r>
    </w:p>
    <w:p w:rsidR="003B674E"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r>
      <w:r w:rsidR="00E93FC5">
        <w:rPr>
          <w:rFonts w:asciiTheme="majorHAnsi" w:hAnsiTheme="majorHAnsi"/>
          <w:sz w:val="18"/>
          <w:szCs w:val="18"/>
        </w:rPr>
        <w:t xml:space="preserve">Email: </w:t>
      </w:r>
      <w:hyperlink r:id="rId12" w:history="1">
        <w:proofErr w:type="spellStart"/>
        <w:r w:rsidRPr="00221769">
          <w:rPr>
            <w:rStyle w:val="Hyperlink"/>
            <w:rFonts w:asciiTheme="majorHAnsi" w:hAnsiTheme="majorHAnsi"/>
            <w:sz w:val="18"/>
            <w:szCs w:val="18"/>
          </w:rPr>
          <w:t>john.greenwood@sa.gov.au</w:t>
        </w:r>
        <w:proofErr w:type="spellEnd"/>
      </w:hyperlink>
    </w:p>
    <w:p w:rsidR="003B674E"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t>Adult Burn Service, Level 7, G Wing, Royal Adelaide Hospital, Port Road,</w:t>
      </w:r>
    </w:p>
    <w:p w:rsidR="003B674E"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t>Adelaide, South Australia, Australia</w:t>
      </w:r>
    </w:p>
    <w:p w:rsidR="000D6982" w:rsidRPr="00041A28"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t>Telephone</w:t>
      </w:r>
      <w:r w:rsidR="00E93FC5">
        <w:rPr>
          <w:rFonts w:asciiTheme="majorHAnsi" w:hAnsiTheme="majorHAnsi"/>
          <w:sz w:val="18"/>
          <w:szCs w:val="18"/>
        </w:rPr>
        <w:t xml:space="preserve">: </w:t>
      </w:r>
      <w:r>
        <w:rPr>
          <w:rFonts w:asciiTheme="majorHAnsi" w:hAnsiTheme="majorHAnsi"/>
          <w:sz w:val="18"/>
          <w:szCs w:val="18"/>
        </w:rPr>
        <w:t>+61-422-000809</w:t>
      </w:r>
    </w:p>
    <w:p w:rsidR="00AE3E37" w:rsidRPr="000D6982" w:rsidRDefault="00AE3E37">
      <w:pPr>
        <w:rPr>
          <w:rFonts w:asciiTheme="majorHAnsi" w:hAnsiTheme="majorHAnsi"/>
          <w:sz w:val="24"/>
        </w:rPr>
        <w:sectPr w:rsidR="00AE3E37" w:rsidRPr="000D6982">
          <w:type w:val="continuous"/>
          <w:pgSz w:w="11910" w:h="16840"/>
          <w:pgMar w:top="1740" w:right="600" w:bottom="840" w:left="620" w:gutter="0"/>
        </w:sectPr>
      </w:pPr>
    </w:p>
    <w:p w:rsidR="00AE3E37" w:rsidRPr="000D6982" w:rsidRDefault="00AE3E37">
      <w:pPr>
        <w:pStyle w:val="BodyText"/>
        <w:spacing w:before="3"/>
        <w:rPr>
          <w:rFonts w:asciiTheme="majorHAnsi" w:hAnsiTheme="majorHAnsi"/>
          <w:sz w:val="26"/>
        </w:rPr>
      </w:pPr>
    </w:p>
    <w:sectPr w:rsidR="00AE3E37" w:rsidRPr="000D6982" w:rsidSect="00CD6F55">
      <w:type w:val="continuous"/>
      <w:pgSz w:w="11910" w:h="16840"/>
      <w:pgMar w:top="1740" w:right="580" w:bottom="840" w:left="620" w:gutter="0"/>
      <w:cols w:num="2" w:equalWidth="0">
        <w:col w:w="5214" w:space="138"/>
        <w:col w:w="5358"/>
      </w:cols>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443" w:rsidRDefault="00EF2443">
      <w:r>
        <w:separator/>
      </w:r>
    </w:p>
  </w:endnote>
  <w:endnote w:type="continuationSeparator" w:id="0">
    <w:p w:rsidR="00EF2443" w:rsidRDefault="00EF244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SMinionTabEE-Regular">
    <w:altName w:val="Times New Roman"/>
    <w:panose1 w:val="00000000000000000000"/>
    <w:charset w:val="EE"/>
    <w:family w:val="auto"/>
    <w:notTrueType/>
    <w:pitch w:val="default"/>
    <w:sig w:usb0="00000005" w:usb1="00000000" w:usb2="00000000" w:usb3="00000000" w:csb0="00000002" w:csb1="00000000"/>
  </w:font>
  <w:font w:name="Palatino-Roman">
    <w:panose1 w:val="00000000000000000000"/>
    <w:charset w:val="4D"/>
    <w:family w:val="roman"/>
    <w:notTrueType/>
    <w:pitch w:val="default"/>
    <w:sig w:usb0="00000003" w:usb1="00000000" w:usb2="00000000" w:usb3="00000000" w:csb0="00000001" w:csb1="00000000"/>
  </w:font>
  <w:font w:name="Goudy Old Style">
    <w:panose1 w:val="02020502050305020303"/>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43" w:rsidRDefault="00204717">
    <w:pPr>
      <w:pStyle w:val="BodyText"/>
      <w:spacing w:line="14" w:lineRule="auto"/>
      <w:rPr>
        <w:sz w:val="20"/>
      </w:rPr>
    </w:pPr>
    <w:r w:rsidRPr="00204717">
      <w:rPr>
        <w:noProof/>
        <w:lang w:val="en-IN" w:eastAsia="en-IN"/>
      </w:rPr>
      <w:pict>
        <v:shapetype id="_x0000_t202" coordsize="21600,21600" o:spt="202" path="m0,0l0,21600,21600,21600,21600,0xe">
          <v:stroke joinstyle="miter"/>
          <v:path gradientshapeok="t" o:connecttype="rect"/>
        </v:shapetype>
        <v:shape id="Text Box 2" o:spid="_x0000_s4097"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EF2443" w:rsidRPr="005B3A56" w:rsidRDefault="00EF244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F2443" w:rsidRPr="005B3A56" w:rsidRDefault="00EF244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443" w:rsidRDefault="00EF2443">
      <w:r>
        <w:separator/>
      </w:r>
    </w:p>
  </w:footnote>
  <w:footnote w:type="continuationSeparator" w:id="0">
    <w:p w:rsidR="00EF2443" w:rsidRDefault="00EF2443">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443" w:rsidRDefault="00EF2443">
    <w:pPr>
      <w:pStyle w:val="BodyText"/>
      <w:spacing w:line="14" w:lineRule="auto"/>
      <w:rPr>
        <w:sz w:val="20"/>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oNotDisplayPageBoundaries/>
  <w:proofState w:spelling="clean"/>
  <w:doNotTrackMoves/>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ulTrailSpace/>
  </w:compat>
  <w:rsids>
    <w:rsidRoot w:val="00AE3E37"/>
    <w:rsid w:val="00041A28"/>
    <w:rsid w:val="0007108A"/>
    <w:rsid w:val="000A195E"/>
    <w:rsid w:val="000C56F8"/>
    <w:rsid w:val="000D6982"/>
    <w:rsid w:val="000E2911"/>
    <w:rsid w:val="001263DF"/>
    <w:rsid w:val="00204717"/>
    <w:rsid w:val="00292ED9"/>
    <w:rsid w:val="0038123A"/>
    <w:rsid w:val="003B4007"/>
    <w:rsid w:val="003B674E"/>
    <w:rsid w:val="003C1150"/>
    <w:rsid w:val="003D250F"/>
    <w:rsid w:val="00404E5B"/>
    <w:rsid w:val="00414F7B"/>
    <w:rsid w:val="004355DC"/>
    <w:rsid w:val="004749B4"/>
    <w:rsid w:val="00494130"/>
    <w:rsid w:val="004F3523"/>
    <w:rsid w:val="00515D85"/>
    <w:rsid w:val="005973B9"/>
    <w:rsid w:val="005B3A56"/>
    <w:rsid w:val="005C17A2"/>
    <w:rsid w:val="006060CE"/>
    <w:rsid w:val="00610FA2"/>
    <w:rsid w:val="0063497F"/>
    <w:rsid w:val="00676740"/>
    <w:rsid w:val="00707C8D"/>
    <w:rsid w:val="00721FDB"/>
    <w:rsid w:val="007C3EEA"/>
    <w:rsid w:val="00873DF0"/>
    <w:rsid w:val="008756E6"/>
    <w:rsid w:val="009634C7"/>
    <w:rsid w:val="009B2D44"/>
    <w:rsid w:val="00A07E82"/>
    <w:rsid w:val="00A765F2"/>
    <w:rsid w:val="00A9710C"/>
    <w:rsid w:val="00AD6863"/>
    <w:rsid w:val="00AE3E37"/>
    <w:rsid w:val="00B05B37"/>
    <w:rsid w:val="00B21A57"/>
    <w:rsid w:val="00C33602"/>
    <w:rsid w:val="00CD6F55"/>
    <w:rsid w:val="00D955AD"/>
    <w:rsid w:val="00DE3104"/>
    <w:rsid w:val="00E01BF6"/>
    <w:rsid w:val="00E93FC5"/>
    <w:rsid w:val="00EF2443"/>
    <w:rsid w:val="00F17728"/>
    <w:rsid w:val="00F72EEA"/>
    <w:rsid w:val="00F84CAE"/>
  </w:rsids>
  <m:mathPr>
    <m:mathFont m:val="Tw Cen M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93FC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john.greenwood@sa.gov.au" TargetMode="External"/><Relationship Id="rId13" Type="http://schemas.openxmlformats.org/officeDocument/2006/relationships/fontTable" Target="fontTable.xml"/><Relationship Id="rId14" Type="http://schemas.openxmlformats.org/officeDocument/2006/relationships/theme" Target="theme/theme1.xml"/><Relationship Id="rId15"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hyperlink" Target="https://doi.org/10.1308/rcsann.2017.0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798</Words>
  <Characters>4554</Characters>
  <Application>Microsoft Macintosh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 Greenwood</cp:lastModifiedBy>
  <cp:revision>4</cp:revision>
  <dcterms:created xsi:type="dcterms:W3CDTF">2018-01-28T04:40:00Z</dcterms:created>
  <dcterms:modified xsi:type="dcterms:W3CDTF">2018-01-28T07:30:00Z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