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10E2" w:rsidRDefault="00835F41" w:rsidP="00835F41">
      <w:pPr>
        <w:jc w:val="center"/>
        <w:rPr>
          <w:b/>
          <w:bCs/>
        </w:rPr>
      </w:pPr>
      <w:r>
        <w:rPr>
          <w:b/>
          <w:bCs/>
        </w:rPr>
        <w:t>THE IMPACT OF APPRPRIATE ASSESS</w:t>
      </w:r>
      <w:r w:rsidR="00B22CA8">
        <w:rPr>
          <w:b/>
          <w:bCs/>
        </w:rPr>
        <w:t>MENT OF PRESSURE ULCER AMONG CLINICANS</w:t>
      </w:r>
    </w:p>
    <w:p w:rsidR="00E22F81" w:rsidRDefault="00B22CA8" w:rsidP="00B22CA8">
      <w:pPr>
        <w:ind w:firstLine="0"/>
        <w:rPr>
          <w:b/>
          <w:bCs/>
        </w:rPr>
      </w:pPr>
      <w:r>
        <w:rPr>
          <w:b/>
          <w:bCs/>
        </w:rPr>
        <w:t>ABDULAZIZ BINKANAN</w:t>
      </w:r>
    </w:p>
    <w:p w:rsidR="00B22CA8" w:rsidRDefault="00B22CA8" w:rsidP="00B22CA8">
      <w:pPr>
        <w:ind w:firstLine="0"/>
      </w:pPr>
      <w:r>
        <w:rPr>
          <w:b/>
          <w:bCs/>
        </w:rPr>
        <w:t>KING SAUD MEDICAL CITY</w:t>
      </w:r>
    </w:p>
    <w:p w:rsidR="00E22F81" w:rsidRDefault="00E22F81"/>
    <w:p w:rsidR="00835F41" w:rsidRDefault="00E22F81" w:rsidP="00E22F81">
      <w:pPr>
        <w:jc w:val="both"/>
        <w:rPr>
          <w:lang w:val="en-GB"/>
        </w:rPr>
      </w:pPr>
      <w:r>
        <w:rPr>
          <w:lang w:val="en-GB"/>
        </w:rPr>
        <w:t xml:space="preserve">This </w:t>
      </w:r>
      <w:r>
        <w:rPr>
          <w:lang w:val="en-GB"/>
        </w:rPr>
        <w:t>systematic review</w:t>
      </w:r>
      <w:r>
        <w:rPr>
          <w:lang w:val="en-GB"/>
        </w:rPr>
        <w:t xml:space="preserve"> defines how assessment practices impact on treatment, diagnostic and management practices of pressure ulcer among clinicians. </w:t>
      </w:r>
    </w:p>
    <w:p w:rsidR="00E22F81" w:rsidRDefault="00835F41" w:rsidP="00835F41">
      <w:pPr>
        <w:jc w:val="both"/>
        <w:rPr>
          <w:lang w:val="en-GB"/>
        </w:rPr>
      </w:pPr>
      <w:r>
        <w:rPr>
          <w:lang w:val="en-GB"/>
        </w:rPr>
        <w:t>C</w:t>
      </w:r>
      <w:r w:rsidR="00E22F81" w:rsidRPr="004B2F26">
        <w:rPr>
          <w:lang w:val="en-GB"/>
        </w:rPr>
        <w:t>linical ass</w:t>
      </w:r>
      <w:bookmarkStart w:id="0" w:name="_GoBack"/>
      <w:bookmarkEnd w:id="0"/>
      <w:r w:rsidR="00E22F81" w:rsidRPr="004B2F26">
        <w:rPr>
          <w:lang w:val="en-GB"/>
        </w:rPr>
        <w:t>essment plays a great role in the evaluation of pressure ulcers in order to determine the</w:t>
      </w:r>
      <w:r w:rsidR="00E22F81">
        <w:rPr>
          <w:lang w:val="en-GB"/>
        </w:rPr>
        <w:t xml:space="preserve"> stage and</w:t>
      </w:r>
      <w:r w:rsidR="00E22F81" w:rsidRPr="004B2F26">
        <w:rPr>
          <w:lang w:val="en-GB"/>
        </w:rPr>
        <w:t xml:space="preserve"> level of risk</w:t>
      </w:r>
      <w:r w:rsidR="00E22F81">
        <w:rPr>
          <w:lang w:val="en-GB"/>
        </w:rPr>
        <w:t>.</w:t>
      </w:r>
      <w:r>
        <w:rPr>
          <w:lang w:val="en-GB"/>
        </w:rPr>
        <w:t xml:space="preserve"> </w:t>
      </w:r>
      <w:r w:rsidR="00E22F81" w:rsidRPr="004B2F26">
        <w:rPr>
          <w:lang w:val="en-GB"/>
        </w:rPr>
        <w:t>According to the guidelines of the National Institute of Health and Care Excellence (NICE) clinicians are committed to appropriate assess</w:t>
      </w:r>
      <w:r w:rsidR="00E22F81">
        <w:rPr>
          <w:lang w:val="en-GB"/>
        </w:rPr>
        <w:t xml:space="preserve"> the </w:t>
      </w:r>
      <w:r w:rsidR="00E22F81" w:rsidRPr="004B2F26">
        <w:rPr>
          <w:lang w:val="en-GB"/>
        </w:rPr>
        <w:t>pressure ulcer for the primary care of patients</w:t>
      </w:r>
      <w:r>
        <w:rPr>
          <w:lang w:val="en-GB"/>
        </w:rPr>
        <w:t>,</w:t>
      </w:r>
      <w:r w:rsidR="00E22F81" w:rsidRPr="004B2F26">
        <w:rPr>
          <w:lang w:val="en-GB"/>
        </w:rPr>
        <w:t xml:space="preserve"> </w:t>
      </w:r>
      <w:r w:rsidR="00E22F81">
        <w:rPr>
          <w:lang w:val="en-GB"/>
        </w:rPr>
        <w:t xml:space="preserve">they </w:t>
      </w:r>
      <w:r w:rsidR="00E22F81" w:rsidRPr="004B2F26">
        <w:rPr>
          <w:lang w:val="en-GB"/>
        </w:rPr>
        <w:t>carry out and document</w:t>
      </w:r>
      <w:r w:rsidR="00E22F81">
        <w:rPr>
          <w:lang w:val="en-GB"/>
        </w:rPr>
        <w:t xml:space="preserve"> </w:t>
      </w:r>
      <w:r w:rsidR="00E22F81" w:rsidRPr="004B2F26">
        <w:rPr>
          <w:lang w:val="en-GB"/>
        </w:rPr>
        <w:t>an assessment of pressure ulcer risks for every age group people including adults, children, and old</w:t>
      </w:r>
      <w:r w:rsidR="00E22F81">
        <w:rPr>
          <w:lang w:val="en-GB"/>
        </w:rPr>
        <w:t xml:space="preserve"> (Smith et al., </w:t>
      </w:r>
      <w:r w:rsidR="00E22F81" w:rsidRPr="00186245">
        <w:rPr>
          <w:lang w:val="en-GB"/>
        </w:rPr>
        <w:t>2016</w:t>
      </w:r>
      <w:r w:rsidR="00E22F81">
        <w:rPr>
          <w:lang w:val="en-GB"/>
        </w:rPr>
        <w:t>)</w:t>
      </w:r>
      <w:r w:rsidR="00E22F81" w:rsidRPr="004B2F26">
        <w:rPr>
          <w:lang w:val="en-GB"/>
        </w:rPr>
        <w:t>.</w:t>
      </w:r>
      <w:r w:rsidR="00E22F81">
        <w:rPr>
          <w:lang w:val="en-GB"/>
        </w:rPr>
        <w:t xml:space="preserve"> Therefore, a</w:t>
      </w:r>
      <w:r w:rsidR="00E22F81" w:rsidRPr="004B2F26">
        <w:rPr>
          <w:lang w:val="en-GB"/>
        </w:rPr>
        <w:t>ppropriate assessments are the key driver</w:t>
      </w:r>
      <w:r w:rsidR="00E22F81">
        <w:rPr>
          <w:lang w:val="en-GB"/>
        </w:rPr>
        <w:t>s</w:t>
      </w:r>
      <w:r w:rsidR="00E22F81" w:rsidRPr="004B2F26">
        <w:rPr>
          <w:lang w:val="en-GB"/>
        </w:rPr>
        <w:t xml:space="preserve"> to limit the growth of pressure ulcer; clinicians always prefer assessment for diagnosing, treating,</w:t>
      </w:r>
      <w:r w:rsidR="00E22F81">
        <w:rPr>
          <w:lang w:val="en-GB"/>
        </w:rPr>
        <w:t xml:space="preserve"> and managing patients with PU</w:t>
      </w:r>
      <w:r w:rsidR="00E22F81" w:rsidRPr="004B2F26">
        <w:rPr>
          <w:lang w:val="en-GB"/>
        </w:rPr>
        <w:t>s</w:t>
      </w:r>
      <w:r w:rsidR="00E22F81">
        <w:rPr>
          <w:lang w:val="en-GB"/>
        </w:rPr>
        <w:t xml:space="preserve"> (</w:t>
      </w:r>
      <w:r w:rsidR="00E22F81" w:rsidRPr="00A63DE8">
        <w:rPr>
          <w:lang w:val="en-GB"/>
        </w:rPr>
        <w:t>Engels et al., 2016</w:t>
      </w:r>
      <w:r w:rsidR="00E22F81">
        <w:rPr>
          <w:lang w:val="en-GB"/>
        </w:rPr>
        <w:t>)</w:t>
      </w:r>
      <w:r w:rsidR="00E22F81" w:rsidRPr="004B2F26">
        <w:rPr>
          <w:lang w:val="en-GB"/>
        </w:rPr>
        <w:t>.</w:t>
      </w:r>
    </w:p>
    <w:p w:rsidR="00E22F81" w:rsidRDefault="00E22F81" w:rsidP="00E22F81">
      <w:pPr>
        <w:jc w:val="both"/>
        <w:rPr>
          <w:lang w:val="en-GB"/>
        </w:rPr>
      </w:pPr>
    </w:p>
    <w:p w:rsidR="006400C6" w:rsidRDefault="00E22F81" w:rsidP="006400C6">
      <w:pPr>
        <w:jc w:val="both"/>
        <w:rPr>
          <w:lang w:val="en-GB"/>
        </w:rPr>
      </w:pPr>
      <w:r w:rsidRPr="004B2F26">
        <w:rPr>
          <w:lang w:val="en-GB"/>
        </w:rPr>
        <w:t>The study</w:t>
      </w:r>
      <w:r>
        <w:rPr>
          <w:lang w:val="en-GB"/>
        </w:rPr>
        <w:t xml:space="preserve"> of </w:t>
      </w:r>
      <w:r>
        <w:rPr>
          <w:lang w:val="en-GB"/>
        </w:rPr>
        <w:t>Payne (</w:t>
      </w:r>
      <w:r w:rsidRPr="00D35E37">
        <w:rPr>
          <w:lang w:val="en-GB"/>
        </w:rPr>
        <w:t>2016</w:t>
      </w:r>
      <w:r w:rsidRPr="004B2F26">
        <w:rPr>
          <w:lang w:val="en-GB"/>
        </w:rPr>
        <w:t>) highlighted that assessment is the fundamental tool which impacts on diagnostic practices of clinicians in an efficient way</w:t>
      </w:r>
      <w:r>
        <w:rPr>
          <w:lang w:val="en-GB"/>
        </w:rPr>
        <w:t xml:space="preserve"> (</w:t>
      </w:r>
      <w:r w:rsidRPr="005C36F0">
        <w:rPr>
          <w:lang w:val="en-GB"/>
        </w:rPr>
        <w:t>Eva et al., 2016</w:t>
      </w:r>
      <w:r>
        <w:rPr>
          <w:lang w:val="en-GB"/>
        </w:rPr>
        <w:t>)</w:t>
      </w:r>
      <w:r w:rsidRPr="004B2F26">
        <w:rPr>
          <w:lang w:val="en-GB"/>
        </w:rPr>
        <w:t>.</w:t>
      </w:r>
      <w:r w:rsidR="006400C6">
        <w:rPr>
          <w:lang w:val="en-GB"/>
        </w:rPr>
        <w:t xml:space="preserve"> </w:t>
      </w:r>
      <w:r w:rsidR="006400C6">
        <w:rPr>
          <w:lang w:val="en-GB"/>
        </w:rPr>
        <w:t>A</w:t>
      </w:r>
      <w:r w:rsidR="006400C6">
        <w:rPr>
          <w:lang w:val="en-GB"/>
        </w:rPr>
        <w:t xml:space="preserve">nother study conducted by </w:t>
      </w:r>
      <w:r w:rsidR="006400C6">
        <w:rPr>
          <w:lang w:val="en-GB"/>
        </w:rPr>
        <w:t>Lee</w:t>
      </w:r>
      <w:r w:rsidR="006400C6" w:rsidRPr="00BB42F6">
        <w:rPr>
          <w:lang w:val="en-GB"/>
        </w:rPr>
        <w:t xml:space="preserve">, </w:t>
      </w:r>
      <w:r w:rsidR="006400C6">
        <w:rPr>
          <w:lang w:val="en-GB"/>
        </w:rPr>
        <w:t xml:space="preserve">and </w:t>
      </w:r>
      <w:r w:rsidR="006400C6" w:rsidRPr="00BB42F6">
        <w:rPr>
          <w:lang w:val="en-GB"/>
        </w:rPr>
        <w:t>Kim</w:t>
      </w:r>
      <w:r w:rsidR="006400C6">
        <w:rPr>
          <w:lang w:val="en-GB"/>
        </w:rPr>
        <w:t xml:space="preserve"> (</w:t>
      </w:r>
      <w:r w:rsidR="006400C6" w:rsidRPr="00BB42F6">
        <w:rPr>
          <w:lang w:val="en-GB"/>
        </w:rPr>
        <w:t>2016</w:t>
      </w:r>
      <w:r w:rsidR="006400C6" w:rsidRPr="004B2F26">
        <w:rPr>
          <w:lang w:val="en-GB"/>
        </w:rPr>
        <w:t>)</w:t>
      </w:r>
      <w:r w:rsidR="006400C6">
        <w:rPr>
          <w:lang w:val="en-GB"/>
        </w:rPr>
        <w:t>,</w:t>
      </w:r>
      <w:r w:rsidR="006400C6">
        <w:rPr>
          <w:lang w:val="en-GB"/>
        </w:rPr>
        <w:t xml:space="preserve"> indicated that</w:t>
      </w:r>
      <w:r w:rsidR="006400C6">
        <w:rPr>
          <w:lang w:val="en-GB"/>
        </w:rPr>
        <w:t xml:space="preserve"> healthcare practitioners</w:t>
      </w:r>
      <w:r w:rsidR="006400C6" w:rsidRPr="004B2F26">
        <w:rPr>
          <w:lang w:val="en-GB"/>
        </w:rPr>
        <w:t xml:space="preserve"> took a judgment by assessment to diagnose the prevalence of pressure ulcer in the England; there were 24,674 patients with adverse PU condition diagnosed. Similarly, by taking another assessment</w:t>
      </w:r>
      <w:r w:rsidR="006400C6">
        <w:rPr>
          <w:lang w:val="en-GB"/>
        </w:rPr>
        <w:t>,</w:t>
      </w:r>
      <w:r w:rsidR="006400C6">
        <w:rPr>
          <w:lang w:val="en-GB"/>
        </w:rPr>
        <w:t xml:space="preserve"> National Health Services</w:t>
      </w:r>
      <w:r w:rsidR="006400C6" w:rsidRPr="004B2F26">
        <w:rPr>
          <w:lang w:val="en-GB"/>
        </w:rPr>
        <w:t xml:space="preserve"> </w:t>
      </w:r>
      <w:r w:rsidR="006400C6">
        <w:rPr>
          <w:lang w:val="en-GB"/>
        </w:rPr>
        <w:t>(</w:t>
      </w:r>
      <w:r w:rsidR="006400C6" w:rsidRPr="004B2F26">
        <w:rPr>
          <w:lang w:val="en-GB"/>
        </w:rPr>
        <w:t>NHS</w:t>
      </w:r>
      <w:r w:rsidR="006400C6">
        <w:rPr>
          <w:lang w:val="en-GB"/>
        </w:rPr>
        <w:t>)</w:t>
      </w:r>
      <w:r w:rsidR="006400C6" w:rsidRPr="004B2F26">
        <w:rPr>
          <w:lang w:val="en-GB"/>
        </w:rPr>
        <w:t xml:space="preserve"> reported that the average length of stay in hospitals of patients with PUs is 25 days. Clinicians diagnose</w:t>
      </w:r>
      <w:r w:rsidR="006400C6">
        <w:rPr>
          <w:lang w:val="en-GB"/>
        </w:rPr>
        <w:t>d</w:t>
      </w:r>
      <w:r w:rsidR="006400C6" w:rsidRPr="004B2F26">
        <w:rPr>
          <w:lang w:val="en-GB"/>
        </w:rPr>
        <w:t xml:space="preserve"> the root causes of pressure ulcer by conducting </w:t>
      </w:r>
      <w:r w:rsidR="006400C6" w:rsidRPr="004B2F26">
        <w:rPr>
          <w:lang w:val="en-GB"/>
        </w:rPr>
        <w:lastRenderedPageBreak/>
        <w:t>di</w:t>
      </w:r>
      <w:r w:rsidR="006400C6">
        <w:rPr>
          <w:lang w:val="en-GB"/>
        </w:rPr>
        <w:t xml:space="preserve">agnostic assessment of patient, </w:t>
      </w:r>
      <w:r w:rsidR="006400C6" w:rsidRPr="004B2F26">
        <w:rPr>
          <w:lang w:val="en-GB"/>
        </w:rPr>
        <w:t>significantly among old people</w:t>
      </w:r>
      <w:r w:rsidR="006400C6">
        <w:rPr>
          <w:lang w:val="en-GB"/>
        </w:rPr>
        <w:t xml:space="preserve"> (Greenwood and McGinnis, </w:t>
      </w:r>
      <w:r w:rsidR="006400C6" w:rsidRPr="00020542">
        <w:rPr>
          <w:lang w:val="en-GB"/>
        </w:rPr>
        <w:t>2016</w:t>
      </w:r>
      <w:r w:rsidR="006400C6">
        <w:rPr>
          <w:lang w:val="en-GB"/>
        </w:rPr>
        <w:t>)</w:t>
      </w:r>
      <w:r w:rsidR="006400C6" w:rsidRPr="004B2F26">
        <w:rPr>
          <w:lang w:val="en-GB"/>
        </w:rPr>
        <w:t xml:space="preserve">. </w:t>
      </w:r>
    </w:p>
    <w:p w:rsidR="006400C6" w:rsidRDefault="006400C6" w:rsidP="006400C6">
      <w:pPr>
        <w:jc w:val="both"/>
        <w:rPr>
          <w:lang w:val="en-GB"/>
        </w:rPr>
      </w:pPr>
    </w:p>
    <w:p w:rsidR="006400C6" w:rsidRDefault="006400C6" w:rsidP="00835F41">
      <w:pPr>
        <w:jc w:val="both"/>
        <w:rPr>
          <w:lang w:val="en-GB"/>
        </w:rPr>
      </w:pPr>
      <w:r>
        <w:rPr>
          <w:lang w:val="en-GB"/>
        </w:rPr>
        <w:t xml:space="preserve">From the study of </w:t>
      </w:r>
      <w:proofErr w:type="spellStart"/>
      <w:r>
        <w:rPr>
          <w:lang w:val="en-GB"/>
        </w:rPr>
        <w:t>Fabbruzzo</w:t>
      </w:r>
      <w:proofErr w:type="spellEnd"/>
      <w:r>
        <w:rPr>
          <w:lang w:val="en-GB"/>
        </w:rPr>
        <w:t>-Cota et al. (</w:t>
      </w:r>
      <w:r w:rsidRPr="00901F7F">
        <w:rPr>
          <w:lang w:val="en-GB"/>
        </w:rPr>
        <w:t>2016</w:t>
      </w:r>
      <w:r w:rsidRPr="004B2F26">
        <w:rPr>
          <w:lang w:val="en-GB"/>
        </w:rPr>
        <w:t>), it is examined that assessment practices allow clinicians to determine better treatment options for pressure ulcer such as they provide effective guidelines to the patients that how they can cope with unhealed pressure ulcers to treat their wound in home premises</w:t>
      </w:r>
      <w:r>
        <w:rPr>
          <w:lang w:val="en-GB"/>
        </w:rPr>
        <w:t xml:space="preserve"> (</w:t>
      </w:r>
      <w:r w:rsidRPr="00FD02FD">
        <w:rPr>
          <w:lang w:val="en-GB"/>
        </w:rPr>
        <w:t>Richardson et al., 2017</w:t>
      </w:r>
      <w:r>
        <w:rPr>
          <w:lang w:val="en-GB"/>
        </w:rPr>
        <w:t>)</w:t>
      </w:r>
      <w:r w:rsidRPr="004B2F26">
        <w:rPr>
          <w:lang w:val="en-GB"/>
        </w:rPr>
        <w:t>.</w:t>
      </w:r>
      <w:r w:rsidR="00835F41">
        <w:rPr>
          <w:lang w:val="en-GB"/>
        </w:rPr>
        <w:t xml:space="preserve"> In addition, t</w:t>
      </w:r>
      <w:r>
        <w:rPr>
          <w:lang w:val="en-GB"/>
        </w:rPr>
        <w:t xml:space="preserve">he management of pressure ulcer influences by decision making practices which can be done only through conducting an appropriate assessment. Management takes decision in the initial assessment process such as analyse barriers which needs to overcome to achieve healing (Benbow, </w:t>
      </w:r>
      <w:r w:rsidRPr="00E503D2">
        <w:rPr>
          <w:lang w:val="en-GB"/>
        </w:rPr>
        <w:t>2016</w:t>
      </w:r>
      <w:r>
        <w:rPr>
          <w:lang w:val="en-GB"/>
        </w:rPr>
        <w:t>)</w:t>
      </w:r>
      <w:r>
        <w:rPr>
          <w:lang w:val="en-GB"/>
        </w:rPr>
        <w:t>.</w:t>
      </w:r>
      <w:r w:rsidR="00835F41">
        <w:rPr>
          <w:lang w:val="en-GB"/>
        </w:rPr>
        <w:t xml:space="preserve"> </w:t>
      </w:r>
      <w:r>
        <w:rPr>
          <w:lang w:val="en-GB"/>
        </w:rPr>
        <w:t>According to the management guidelines of the National Patient Safety Agency (NPSA) assessment plays a critical role in determining solution to the problems such as pressure ulcer disease in patients (</w:t>
      </w:r>
      <w:proofErr w:type="spellStart"/>
      <w:r>
        <w:rPr>
          <w:lang w:val="en-GB"/>
        </w:rPr>
        <w:t>Boyko</w:t>
      </w:r>
      <w:proofErr w:type="spellEnd"/>
      <w:r>
        <w:rPr>
          <w:lang w:val="en-GB"/>
        </w:rPr>
        <w:t xml:space="preserve">, </w:t>
      </w:r>
      <w:proofErr w:type="spellStart"/>
      <w:r w:rsidRPr="00804307">
        <w:rPr>
          <w:lang w:val="en-GB"/>
        </w:rPr>
        <w:t>Long</w:t>
      </w:r>
      <w:r>
        <w:rPr>
          <w:lang w:val="en-GB"/>
        </w:rPr>
        <w:t>aker</w:t>
      </w:r>
      <w:proofErr w:type="spellEnd"/>
      <w:r>
        <w:rPr>
          <w:lang w:val="en-GB"/>
        </w:rPr>
        <w:t xml:space="preserve"> and Yang, 2018). </w:t>
      </w:r>
    </w:p>
    <w:p w:rsidR="00E22F81" w:rsidRDefault="00E22F81">
      <w:pPr>
        <w:rPr>
          <w:lang w:val="en-GB"/>
        </w:rPr>
      </w:pPr>
    </w:p>
    <w:p w:rsidR="00835F41" w:rsidRDefault="00835F41">
      <w:pPr>
        <w:rPr>
          <w:lang w:val="en-GB"/>
        </w:rPr>
      </w:pPr>
      <w:r>
        <w:rPr>
          <w:lang w:val="en-GB"/>
        </w:rPr>
        <w:t>A</w:t>
      </w:r>
      <w:r>
        <w:rPr>
          <w:lang w:val="en-GB"/>
        </w:rPr>
        <w:t>ssessment practice among healthcare practitioners’ impacts on the diagnostic</w:t>
      </w:r>
      <w:r>
        <w:rPr>
          <w:lang w:val="en-GB"/>
        </w:rPr>
        <w:t>, treatment and management</w:t>
      </w:r>
      <w:r>
        <w:rPr>
          <w:lang w:val="en-GB"/>
        </w:rPr>
        <w:t xml:space="preserve"> process</w:t>
      </w:r>
      <w:r>
        <w:rPr>
          <w:lang w:val="en-GB"/>
        </w:rPr>
        <w:t xml:space="preserve">. Moreover, appropriate assessment is the golden </w:t>
      </w:r>
      <w:proofErr w:type="spellStart"/>
      <w:r>
        <w:rPr>
          <w:lang w:val="en-GB"/>
        </w:rPr>
        <w:t>standerd</w:t>
      </w:r>
      <w:proofErr w:type="spellEnd"/>
      <w:r>
        <w:rPr>
          <w:lang w:val="en-GB"/>
        </w:rPr>
        <w:t xml:space="preserve"> to facilitate that process.</w:t>
      </w:r>
    </w:p>
    <w:p w:rsidR="00B22CA8" w:rsidRDefault="00B22CA8">
      <w:pPr>
        <w:rPr>
          <w:lang w:val="en-GB"/>
        </w:rPr>
      </w:pPr>
    </w:p>
    <w:p w:rsidR="00B22CA8" w:rsidRDefault="00B22CA8">
      <w:pPr>
        <w:rPr>
          <w:lang w:val="en-GB"/>
        </w:rPr>
      </w:pPr>
    </w:p>
    <w:p w:rsidR="00B22CA8" w:rsidRDefault="00B22CA8">
      <w:pPr>
        <w:rPr>
          <w:lang w:val="en-GB"/>
        </w:rPr>
      </w:pPr>
    </w:p>
    <w:p w:rsidR="00B22CA8" w:rsidRDefault="00B22CA8">
      <w:pPr>
        <w:rPr>
          <w:lang w:val="en-GB"/>
        </w:rPr>
      </w:pPr>
    </w:p>
    <w:p w:rsidR="00B22CA8" w:rsidRDefault="00B22CA8">
      <w:pPr>
        <w:rPr>
          <w:lang w:val="en-GB"/>
        </w:rPr>
      </w:pPr>
    </w:p>
    <w:p w:rsidR="00B22CA8" w:rsidRDefault="00B22CA8">
      <w:pPr>
        <w:rPr>
          <w:lang w:val="en-GB"/>
        </w:rPr>
      </w:pPr>
    </w:p>
    <w:p w:rsidR="00B22CA8" w:rsidRDefault="00B22CA8">
      <w:pPr>
        <w:rPr>
          <w:lang w:val="en-GB"/>
        </w:rPr>
      </w:pPr>
    </w:p>
    <w:p w:rsidR="00B22CA8" w:rsidRPr="00EB1E82" w:rsidRDefault="00B22CA8" w:rsidP="00B22CA8">
      <w:pPr>
        <w:ind w:left="720" w:hanging="720"/>
        <w:rPr>
          <w:shd w:val="clear" w:color="auto" w:fill="FFFFFF"/>
        </w:rPr>
      </w:pPr>
      <w:r w:rsidRPr="00EB1E82">
        <w:rPr>
          <w:shd w:val="clear" w:color="auto" w:fill="FFFFFF"/>
        </w:rPr>
        <w:lastRenderedPageBreak/>
        <w:t xml:space="preserve">Andrade, C.C.D., Almeida, C.F.D.S.C., Pereira, W.E., </w:t>
      </w:r>
      <w:proofErr w:type="spellStart"/>
      <w:r w:rsidRPr="00EB1E82">
        <w:rPr>
          <w:shd w:val="clear" w:color="auto" w:fill="FFFFFF"/>
        </w:rPr>
        <w:t>Alemão</w:t>
      </w:r>
      <w:proofErr w:type="spellEnd"/>
      <w:r w:rsidRPr="00EB1E82">
        <w:rPr>
          <w:shd w:val="clear" w:color="auto" w:fill="FFFFFF"/>
        </w:rPr>
        <w:t xml:space="preserve">, M.M., </w:t>
      </w:r>
      <w:proofErr w:type="spellStart"/>
      <w:r w:rsidRPr="00EB1E82">
        <w:rPr>
          <w:shd w:val="clear" w:color="auto" w:fill="FFFFFF"/>
        </w:rPr>
        <w:t>Brandão</w:t>
      </w:r>
      <w:proofErr w:type="spellEnd"/>
      <w:r w:rsidRPr="00EB1E82">
        <w:rPr>
          <w:shd w:val="clear" w:color="auto" w:fill="FFFFFF"/>
        </w:rPr>
        <w:t>, C.M.R. and Borges, E.L., 2016. Costs of topical treatment of pressure ulcer patients. </w:t>
      </w:r>
      <w:proofErr w:type="spellStart"/>
      <w:r w:rsidRPr="00EB1E82">
        <w:rPr>
          <w:i/>
          <w:iCs/>
          <w:shd w:val="clear" w:color="auto" w:fill="FFFFFF"/>
        </w:rPr>
        <w:t>Revista</w:t>
      </w:r>
      <w:proofErr w:type="spellEnd"/>
      <w:r w:rsidRPr="00EB1E82">
        <w:rPr>
          <w:i/>
          <w:iCs/>
          <w:shd w:val="clear" w:color="auto" w:fill="FFFFFF"/>
        </w:rPr>
        <w:t xml:space="preserve"> da Escola de </w:t>
      </w:r>
      <w:proofErr w:type="spellStart"/>
      <w:r w:rsidRPr="00EB1E82">
        <w:rPr>
          <w:i/>
          <w:iCs/>
          <w:shd w:val="clear" w:color="auto" w:fill="FFFFFF"/>
        </w:rPr>
        <w:t>Enfermagem</w:t>
      </w:r>
      <w:proofErr w:type="spellEnd"/>
      <w:r w:rsidRPr="00EB1E82">
        <w:rPr>
          <w:i/>
          <w:iCs/>
          <w:shd w:val="clear" w:color="auto" w:fill="FFFFFF"/>
        </w:rPr>
        <w:t xml:space="preserve"> da USP</w:t>
      </w:r>
      <w:r w:rsidRPr="00EB1E82">
        <w:rPr>
          <w:shd w:val="clear" w:color="auto" w:fill="FFFFFF"/>
        </w:rPr>
        <w:t>, </w:t>
      </w:r>
      <w:r w:rsidRPr="00EB1E82">
        <w:rPr>
          <w:i/>
          <w:iCs/>
          <w:shd w:val="clear" w:color="auto" w:fill="FFFFFF"/>
        </w:rPr>
        <w:t>50</w:t>
      </w:r>
      <w:r w:rsidRPr="00EB1E82">
        <w:rPr>
          <w:shd w:val="clear" w:color="auto" w:fill="FFFFFF"/>
        </w:rPr>
        <w:t>(2), pp.295-301.</w:t>
      </w:r>
    </w:p>
    <w:p w:rsidR="00B22CA8" w:rsidRPr="00EB1E82" w:rsidRDefault="00B22CA8" w:rsidP="00B22CA8">
      <w:pPr>
        <w:ind w:left="720" w:hanging="720"/>
        <w:rPr>
          <w:shd w:val="clear" w:color="auto" w:fill="FFFFFF"/>
        </w:rPr>
      </w:pPr>
      <w:r w:rsidRPr="00EB1E82">
        <w:rPr>
          <w:shd w:val="clear" w:color="auto" w:fill="FFFFFF"/>
        </w:rPr>
        <w:t xml:space="preserve">Baugh, C.M., </w:t>
      </w:r>
      <w:proofErr w:type="spellStart"/>
      <w:r w:rsidRPr="00EB1E82">
        <w:rPr>
          <w:shd w:val="clear" w:color="auto" w:fill="FFFFFF"/>
        </w:rPr>
        <w:t>Kroshus</w:t>
      </w:r>
      <w:proofErr w:type="spellEnd"/>
      <w:r w:rsidRPr="00EB1E82">
        <w:rPr>
          <w:shd w:val="clear" w:color="auto" w:fill="FFFFFF"/>
        </w:rPr>
        <w:t xml:space="preserve">, E., </w:t>
      </w:r>
      <w:proofErr w:type="spellStart"/>
      <w:r w:rsidRPr="00EB1E82">
        <w:rPr>
          <w:shd w:val="clear" w:color="auto" w:fill="FFFFFF"/>
        </w:rPr>
        <w:t>Stamm</w:t>
      </w:r>
      <w:proofErr w:type="spellEnd"/>
      <w:r w:rsidRPr="00EB1E82">
        <w:rPr>
          <w:shd w:val="clear" w:color="auto" w:fill="FFFFFF"/>
        </w:rPr>
        <w:t xml:space="preserve">, J.M., </w:t>
      </w:r>
      <w:proofErr w:type="spellStart"/>
      <w:r w:rsidRPr="00EB1E82">
        <w:rPr>
          <w:shd w:val="clear" w:color="auto" w:fill="FFFFFF"/>
        </w:rPr>
        <w:t>Daneshvar</w:t>
      </w:r>
      <w:proofErr w:type="spellEnd"/>
      <w:r w:rsidRPr="00EB1E82">
        <w:rPr>
          <w:shd w:val="clear" w:color="auto" w:fill="FFFFFF"/>
        </w:rPr>
        <w:t>, D.H., Pepin, M.J. and Meehan III, W.P., 2016. Clinical practices in collegiate concussion management. </w:t>
      </w:r>
      <w:r w:rsidRPr="00EB1E82">
        <w:rPr>
          <w:i/>
          <w:iCs/>
          <w:shd w:val="clear" w:color="auto" w:fill="FFFFFF"/>
        </w:rPr>
        <w:t>The American journal of sports medicine</w:t>
      </w:r>
      <w:r w:rsidRPr="00EB1E82">
        <w:rPr>
          <w:shd w:val="clear" w:color="auto" w:fill="FFFFFF"/>
        </w:rPr>
        <w:t>, </w:t>
      </w:r>
      <w:r w:rsidRPr="00EB1E82">
        <w:rPr>
          <w:i/>
          <w:iCs/>
          <w:shd w:val="clear" w:color="auto" w:fill="FFFFFF"/>
        </w:rPr>
        <w:t>44</w:t>
      </w:r>
      <w:r w:rsidRPr="00EB1E82">
        <w:rPr>
          <w:shd w:val="clear" w:color="auto" w:fill="FFFFFF"/>
        </w:rPr>
        <w:t>(6), pp.1391-1399.</w:t>
      </w:r>
    </w:p>
    <w:p w:rsidR="00B22CA8" w:rsidRPr="00EB1E82" w:rsidRDefault="00B22CA8" w:rsidP="00B22CA8">
      <w:pPr>
        <w:ind w:left="720" w:hanging="720"/>
        <w:rPr>
          <w:shd w:val="clear" w:color="auto" w:fill="FFFFFF"/>
        </w:rPr>
      </w:pPr>
      <w:r>
        <w:rPr>
          <w:shd w:val="clear" w:color="auto" w:fill="FFFFFF"/>
        </w:rPr>
        <w:t xml:space="preserve">Benbow, M., 2012. </w:t>
      </w:r>
      <w:r w:rsidRPr="00804307">
        <w:rPr>
          <w:shd w:val="clear" w:color="auto" w:fill="FFFFFF"/>
        </w:rPr>
        <w:t>Management of pressure ulcers</w:t>
      </w:r>
      <w:r>
        <w:rPr>
          <w:shd w:val="clear" w:color="auto" w:fill="FFFFFF"/>
        </w:rPr>
        <w:t xml:space="preserve">. [online] Available at: </w:t>
      </w:r>
      <w:hyperlink r:id="rId4" w:history="1">
        <w:r>
          <w:rPr>
            <w:rStyle w:val="Hyperlink"/>
          </w:rPr>
          <w:t>https://www.nursinginpractice.com/article/management-pressure-ulcers</w:t>
        </w:r>
      </w:hyperlink>
    </w:p>
    <w:p w:rsidR="00B22CA8" w:rsidRPr="00EB1E82" w:rsidRDefault="00B22CA8" w:rsidP="00B22CA8">
      <w:pPr>
        <w:ind w:left="720" w:hanging="720"/>
        <w:rPr>
          <w:shd w:val="clear" w:color="auto" w:fill="FFFFFF"/>
        </w:rPr>
      </w:pPr>
      <w:r w:rsidRPr="00EB1E82">
        <w:rPr>
          <w:shd w:val="clear" w:color="auto" w:fill="FFFFFF"/>
        </w:rPr>
        <w:t>Benbow, M., 2016. Best practice in wound assessment. </w:t>
      </w:r>
      <w:r w:rsidRPr="00EB1E82">
        <w:rPr>
          <w:i/>
          <w:iCs/>
          <w:shd w:val="clear" w:color="auto" w:fill="FFFFFF"/>
        </w:rPr>
        <w:t>Nursing Standard (2014+)</w:t>
      </w:r>
      <w:r w:rsidRPr="00EB1E82">
        <w:rPr>
          <w:shd w:val="clear" w:color="auto" w:fill="FFFFFF"/>
        </w:rPr>
        <w:t>, </w:t>
      </w:r>
      <w:r w:rsidRPr="00EB1E82">
        <w:rPr>
          <w:i/>
          <w:iCs/>
          <w:shd w:val="clear" w:color="auto" w:fill="FFFFFF"/>
        </w:rPr>
        <w:t>30</w:t>
      </w:r>
      <w:r w:rsidRPr="00EB1E82">
        <w:rPr>
          <w:shd w:val="clear" w:color="auto" w:fill="FFFFFF"/>
        </w:rPr>
        <w:t>(27), p.40.</w:t>
      </w:r>
    </w:p>
    <w:p w:rsidR="00B22CA8" w:rsidRPr="00EB1E82" w:rsidRDefault="00B22CA8" w:rsidP="00B22CA8">
      <w:pPr>
        <w:ind w:left="720" w:hanging="720"/>
        <w:rPr>
          <w:shd w:val="clear" w:color="auto" w:fill="FFFFFF"/>
        </w:rPr>
      </w:pPr>
      <w:proofErr w:type="spellStart"/>
      <w:r w:rsidRPr="00EB1E82">
        <w:rPr>
          <w:shd w:val="clear" w:color="auto" w:fill="FFFFFF"/>
        </w:rPr>
        <w:t>Boyko</w:t>
      </w:r>
      <w:proofErr w:type="spellEnd"/>
      <w:r w:rsidRPr="00EB1E82">
        <w:rPr>
          <w:shd w:val="clear" w:color="auto" w:fill="FFFFFF"/>
        </w:rPr>
        <w:t xml:space="preserve">, T.V., </w:t>
      </w:r>
      <w:proofErr w:type="spellStart"/>
      <w:r w:rsidRPr="00EB1E82">
        <w:rPr>
          <w:shd w:val="clear" w:color="auto" w:fill="FFFFFF"/>
        </w:rPr>
        <w:t>Longaker</w:t>
      </w:r>
      <w:proofErr w:type="spellEnd"/>
      <w:r w:rsidRPr="00EB1E82">
        <w:rPr>
          <w:shd w:val="clear" w:color="auto" w:fill="FFFFFF"/>
        </w:rPr>
        <w:t>, M.T. and Yang, G.P., 2018. Review of the current management of pressure ulcers. </w:t>
      </w:r>
      <w:r w:rsidRPr="00EB1E82">
        <w:rPr>
          <w:i/>
          <w:iCs/>
          <w:shd w:val="clear" w:color="auto" w:fill="FFFFFF"/>
        </w:rPr>
        <w:t>Advances in wound care</w:t>
      </w:r>
      <w:r w:rsidRPr="00EB1E82">
        <w:rPr>
          <w:shd w:val="clear" w:color="auto" w:fill="FFFFFF"/>
        </w:rPr>
        <w:t>, </w:t>
      </w:r>
      <w:r w:rsidRPr="00EB1E82">
        <w:rPr>
          <w:i/>
          <w:iCs/>
          <w:shd w:val="clear" w:color="auto" w:fill="FFFFFF"/>
        </w:rPr>
        <w:t>7</w:t>
      </w:r>
      <w:r w:rsidRPr="00EB1E82">
        <w:rPr>
          <w:shd w:val="clear" w:color="auto" w:fill="FFFFFF"/>
        </w:rPr>
        <w:t>(2), pp.57-67.</w:t>
      </w:r>
    </w:p>
    <w:p w:rsidR="00B22CA8" w:rsidRPr="00EB1E82" w:rsidRDefault="00B22CA8" w:rsidP="00B22CA8">
      <w:pPr>
        <w:ind w:left="720" w:hanging="720"/>
        <w:rPr>
          <w:shd w:val="clear" w:color="auto" w:fill="FFFFFF"/>
        </w:rPr>
      </w:pPr>
      <w:r w:rsidRPr="00EB1E82">
        <w:rPr>
          <w:shd w:val="clear" w:color="auto" w:fill="FFFFFF"/>
        </w:rPr>
        <w:t>Choi, E.P., Chin, W.Y., Wan, E.Y. and Lam, C.L., 2016. Evaluation of the internal and external responsiveness of the Pressure Ulcer Scale for Healing (PUSH) tool for assessing acute and chronic wounds. </w:t>
      </w:r>
      <w:r w:rsidRPr="00EB1E82">
        <w:rPr>
          <w:i/>
          <w:iCs/>
          <w:shd w:val="clear" w:color="auto" w:fill="FFFFFF"/>
        </w:rPr>
        <w:t>Journal of advanced nursing</w:t>
      </w:r>
      <w:r w:rsidRPr="00EB1E82">
        <w:rPr>
          <w:shd w:val="clear" w:color="auto" w:fill="FFFFFF"/>
        </w:rPr>
        <w:t>, </w:t>
      </w:r>
      <w:r w:rsidRPr="00EB1E82">
        <w:rPr>
          <w:i/>
          <w:iCs/>
          <w:shd w:val="clear" w:color="auto" w:fill="FFFFFF"/>
        </w:rPr>
        <w:t>72</w:t>
      </w:r>
      <w:r w:rsidRPr="00EB1E82">
        <w:rPr>
          <w:shd w:val="clear" w:color="auto" w:fill="FFFFFF"/>
        </w:rPr>
        <w:t>(5), pp.1134-1143.</w:t>
      </w:r>
    </w:p>
    <w:p w:rsidR="00B22CA8" w:rsidRPr="00EB1E82" w:rsidRDefault="00B22CA8" w:rsidP="00B22CA8">
      <w:pPr>
        <w:ind w:left="720" w:hanging="720"/>
        <w:rPr>
          <w:shd w:val="clear" w:color="auto" w:fill="FFFFFF"/>
        </w:rPr>
      </w:pPr>
      <w:r w:rsidRPr="00EB1E82">
        <w:rPr>
          <w:shd w:val="clear" w:color="auto" w:fill="FFFFFF"/>
        </w:rPr>
        <w:t>Cook, J.R., Hausman, E.M., Jensen-Doss, A. and Hawley, K.M., 2017. Assessment practices of child clinicians: Results from a national survey. </w:t>
      </w:r>
      <w:r w:rsidRPr="00EB1E82">
        <w:rPr>
          <w:i/>
          <w:iCs/>
          <w:shd w:val="clear" w:color="auto" w:fill="FFFFFF"/>
        </w:rPr>
        <w:t>Assessment</w:t>
      </w:r>
      <w:r w:rsidRPr="00EB1E82">
        <w:rPr>
          <w:shd w:val="clear" w:color="auto" w:fill="FFFFFF"/>
        </w:rPr>
        <w:t>, </w:t>
      </w:r>
      <w:r w:rsidRPr="00EB1E82">
        <w:rPr>
          <w:i/>
          <w:iCs/>
          <w:shd w:val="clear" w:color="auto" w:fill="FFFFFF"/>
        </w:rPr>
        <w:t>24</w:t>
      </w:r>
      <w:r w:rsidRPr="00EB1E82">
        <w:rPr>
          <w:shd w:val="clear" w:color="auto" w:fill="FFFFFF"/>
        </w:rPr>
        <w:t>(2), pp.210-221.</w:t>
      </w:r>
    </w:p>
    <w:p w:rsidR="00B22CA8" w:rsidRPr="00EB1E82" w:rsidRDefault="00B22CA8" w:rsidP="00B22CA8">
      <w:pPr>
        <w:ind w:left="720" w:hanging="720"/>
        <w:rPr>
          <w:shd w:val="clear" w:color="auto" w:fill="FFFFFF"/>
        </w:rPr>
      </w:pPr>
      <w:r w:rsidRPr="00EB1E82">
        <w:rPr>
          <w:shd w:val="clear" w:color="auto" w:fill="FFFFFF"/>
        </w:rPr>
        <w:t xml:space="preserve">Engels, D., Austin, M., McNichol, L., </w:t>
      </w:r>
      <w:proofErr w:type="spellStart"/>
      <w:r w:rsidRPr="00EB1E82">
        <w:rPr>
          <w:shd w:val="clear" w:color="auto" w:fill="FFFFFF"/>
        </w:rPr>
        <w:t>Fencl</w:t>
      </w:r>
      <w:proofErr w:type="spellEnd"/>
      <w:r w:rsidRPr="00EB1E82">
        <w:rPr>
          <w:shd w:val="clear" w:color="auto" w:fill="FFFFFF"/>
        </w:rPr>
        <w:t xml:space="preserve">, J., Gupta, S. and </w:t>
      </w:r>
      <w:proofErr w:type="spellStart"/>
      <w:r w:rsidRPr="00EB1E82">
        <w:rPr>
          <w:shd w:val="clear" w:color="auto" w:fill="FFFFFF"/>
        </w:rPr>
        <w:t>Kazi</w:t>
      </w:r>
      <w:proofErr w:type="spellEnd"/>
      <w:r w:rsidRPr="00EB1E82">
        <w:rPr>
          <w:shd w:val="clear" w:color="auto" w:fill="FFFFFF"/>
        </w:rPr>
        <w:t>, H., 2016. Pressure ulcers: factors contributing to their development in the OR. </w:t>
      </w:r>
      <w:r w:rsidRPr="00EB1E82">
        <w:rPr>
          <w:i/>
          <w:iCs/>
          <w:shd w:val="clear" w:color="auto" w:fill="FFFFFF"/>
        </w:rPr>
        <w:t>AORN journal</w:t>
      </w:r>
      <w:r w:rsidRPr="00EB1E82">
        <w:rPr>
          <w:shd w:val="clear" w:color="auto" w:fill="FFFFFF"/>
        </w:rPr>
        <w:t>, </w:t>
      </w:r>
      <w:r w:rsidRPr="00EB1E82">
        <w:rPr>
          <w:i/>
          <w:iCs/>
          <w:shd w:val="clear" w:color="auto" w:fill="FFFFFF"/>
        </w:rPr>
        <w:t>103</w:t>
      </w:r>
      <w:r w:rsidRPr="00EB1E82">
        <w:rPr>
          <w:shd w:val="clear" w:color="auto" w:fill="FFFFFF"/>
        </w:rPr>
        <w:t>(3), pp.271-281.</w:t>
      </w:r>
    </w:p>
    <w:p w:rsidR="00B22CA8" w:rsidRPr="00EB1E82" w:rsidRDefault="00B22CA8" w:rsidP="00B22CA8">
      <w:pPr>
        <w:ind w:left="720" w:hanging="720"/>
        <w:rPr>
          <w:shd w:val="clear" w:color="auto" w:fill="FFFFFF"/>
        </w:rPr>
      </w:pPr>
      <w:r w:rsidRPr="00EB1E82">
        <w:rPr>
          <w:shd w:val="clear" w:color="auto" w:fill="FFFFFF"/>
        </w:rPr>
        <w:t xml:space="preserve">Eva, K.W., </w:t>
      </w:r>
      <w:proofErr w:type="spellStart"/>
      <w:r w:rsidRPr="00EB1E82">
        <w:rPr>
          <w:shd w:val="clear" w:color="auto" w:fill="FFFFFF"/>
        </w:rPr>
        <w:t>Bordage</w:t>
      </w:r>
      <w:proofErr w:type="spellEnd"/>
      <w:r w:rsidRPr="00EB1E82">
        <w:rPr>
          <w:shd w:val="clear" w:color="auto" w:fill="FFFFFF"/>
        </w:rPr>
        <w:t xml:space="preserve">, G., Campbell, C., Galbraith, R., Ginsburg, S., </w:t>
      </w:r>
      <w:proofErr w:type="spellStart"/>
      <w:r w:rsidRPr="00EB1E82">
        <w:rPr>
          <w:shd w:val="clear" w:color="auto" w:fill="FFFFFF"/>
        </w:rPr>
        <w:t>Holmboe</w:t>
      </w:r>
      <w:proofErr w:type="spellEnd"/>
      <w:r w:rsidRPr="00EB1E82">
        <w:rPr>
          <w:shd w:val="clear" w:color="auto" w:fill="FFFFFF"/>
        </w:rPr>
        <w:t xml:space="preserve">, E. and </w:t>
      </w:r>
      <w:proofErr w:type="spellStart"/>
      <w:r w:rsidRPr="00EB1E82">
        <w:rPr>
          <w:shd w:val="clear" w:color="auto" w:fill="FFFFFF"/>
        </w:rPr>
        <w:t>Regehr</w:t>
      </w:r>
      <w:proofErr w:type="spellEnd"/>
      <w:r w:rsidRPr="00EB1E82">
        <w:rPr>
          <w:shd w:val="clear" w:color="auto" w:fill="FFFFFF"/>
        </w:rPr>
        <w:t>, G., 2016. Towards a program of assessment for health professionals: from training into practice. </w:t>
      </w:r>
      <w:r w:rsidRPr="00EB1E82">
        <w:rPr>
          <w:i/>
          <w:iCs/>
          <w:shd w:val="clear" w:color="auto" w:fill="FFFFFF"/>
        </w:rPr>
        <w:t>Advances in Health Sciences Education</w:t>
      </w:r>
      <w:r w:rsidRPr="00EB1E82">
        <w:rPr>
          <w:shd w:val="clear" w:color="auto" w:fill="FFFFFF"/>
        </w:rPr>
        <w:t>, </w:t>
      </w:r>
      <w:r w:rsidRPr="00EB1E82">
        <w:rPr>
          <w:i/>
          <w:iCs/>
          <w:shd w:val="clear" w:color="auto" w:fill="FFFFFF"/>
        </w:rPr>
        <w:t>21</w:t>
      </w:r>
      <w:r w:rsidRPr="00EB1E82">
        <w:rPr>
          <w:shd w:val="clear" w:color="auto" w:fill="FFFFFF"/>
        </w:rPr>
        <w:t>(4), pp.897-913.</w:t>
      </w:r>
    </w:p>
    <w:p w:rsidR="00B22CA8" w:rsidRPr="00EB1E82" w:rsidRDefault="00B22CA8" w:rsidP="00B22CA8">
      <w:pPr>
        <w:ind w:left="720" w:hanging="720"/>
        <w:rPr>
          <w:shd w:val="clear" w:color="auto" w:fill="FFFFFF"/>
        </w:rPr>
      </w:pPr>
      <w:proofErr w:type="spellStart"/>
      <w:r w:rsidRPr="00EB1E82">
        <w:rPr>
          <w:shd w:val="clear" w:color="auto" w:fill="FFFFFF"/>
        </w:rPr>
        <w:lastRenderedPageBreak/>
        <w:t>Fabbruzzo</w:t>
      </w:r>
      <w:proofErr w:type="spellEnd"/>
      <w:r w:rsidRPr="00EB1E82">
        <w:rPr>
          <w:shd w:val="clear" w:color="auto" w:fill="FFFFFF"/>
        </w:rPr>
        <w:t xml:space="preserve">-Cota, C., </w:t>
      </w:r>
      <w:proofErr w:type="spellStart"/>
      <w:r w:rsidRPr="00EB1E82">
        <w:rPr>
          <w:shd w:val="clear" w:color="auto" w:fill="FFFFFF"/>
        </w:rPr>
        <w:t>Frecea</w:t>
      </w:r>
      <w:proofErr w:type="spellEnd"/>
      <w:r w:rsidRPr="00EB1E82">
        <w:rPr>
          <w:shd w:val="clear" w:color="auto" w:fill="FFFFFF"/>
        </w:rPr>
        <w:t xml:space="preserve">, M., </w:t>
      </w:r>
      <w:proofErr w:type="spellStart"/>
      <w:r w:rsidRPr="00EB1E82">
        <w:rPr>
          <w:shd w:val="clear" w:color="auto" w:fill="FFFFFF"/>
        </w:rPr>
        <w:t>Kozell</w:t>
      </w:r>
      <w:proofErr w:type="spellEnd"/>
      <w:r w:rsidRPr="00EB1E82">
        <w:rPr>
          <w:shd w:val="clear" w:color="auto" w:fill="FFFFFF"/>
        </w:rPr>
        <w:t>, K., Pere, K., Thompson, T., Thomas, J.T. and Wong, A., 2016. A clinical nurse specialist–led interprofessional quality improvement project to reduce hospital-acquired pressure ulcers. </w:t>
      </w:r>
      <w:r w:rsidRPr="00EB1E82">
        <w:rPr>
          <w:i/>
          <w:iCs/>
          <w:shd w:val="clear" w:color="auto" w:fill="FFFFFF"/>
        </w:rPr>
        <w:t>Clinical Nurse Specialist</w:t>
      </w:r>
      <w:r w:rsidRPr="00EB1E82">
        <w:rPr>
          <w:shd w:val="clear" w:color="auto" w:fill="FFFFFF"/>
        </w:rPr>
        <w:t>, </w:t>
      </w:r>
      <w:r w:rsidRPr="00EB1E82">
        <w:rPr>
          <w:i/>
          <w:iCs/>
          <w:shd w:val="clear" w:color="auto" w:fill="FFFFFF"/>
        </w:rPr>
        <w:t>30</w:t>
      </w:r>
      <w:r w:rsidRPr="00EB1E82">
        <w:rPr>
          <w:shd w:val="clear" w:color="auto" w:fill="FFFFFF"/>
        </w:rPr>
        <w:t>(2), pp.110-116.</w:t>
      </w:r>
    </w:p>
    <w:p w:rsidR="00B22CA8" w:rsidRPr="00EB1E82" w:rsidRDefault="00B22CA8" w:rsidP="00B22CA8">
      <w:pPr>
        <w:ind w:left="720" w:hanging="720"/>
        <w:rPr>
          <w:shd w:val="clear" w:color="auto" w:fill="FFFFFF"/>
        </w:rPr>
      </w:pPr>
      <w:r w:rsidRPr="00EB1E82">
        <w:rPr>
          <w:shd w:val="clear" w:color="auto" w:fill="FFFFFF"/>
        </w:rPr>
        <w:t>Greenwood, C. and McGinnis, E., 2016. A retrospective analysis of the findings of pressure ulcer investigations in an acute trust in the UK. </w:t>
      </w:r>
      <w:r w:rsidRPr="00EB1E82">
        <w:rPr>
          <w:i/>
          <w:iCs/>
          <w:shd w:val="clear" w:color="auto" w:fill="FFFFFF"/>
        </w:rPr>
        <w:t>Journal of tissue viability</w:t>
      </w:r>
      <w:r w:rsidRPr="00EB1E82">
        <w:rPr>
          <w:shd w:val="clear" w:color="auto" w:fill="FFFFFF"/>
        </w:rPr>
        <w:t>, </w:t>
      </w:r>
      <w:r w:rsidRPr="00EB1E82">
        <w:rPr>
          <w:i/>
          <w:iCs/>
          <w:shd w:val="clear" w:color="auto" w:fill="FFFFFF"/>
        </w:rPr>
        <w:t>25</w:t>
      </w:r>
      <w:r w:rsidRPr="00EB1E82">
        <w:rPr>
          <w:shd w:val="clear" w:color="auto" w:fill="FFFFFF"/>
        </w:rPr>
        <w:t>(2), pp.91-97.</w:t>
      </w:r>
    </w:p>
    <w:p w:rsidR="00B22CA8" w:rsidRPr="00EB1E82" w:rsidRDefault="00B22CA8" w:rsidP="00B22CA8">
      <w:pPr>
        <w:ind w:left="720" w:hanging="720"/>
        <w:rPr>
          <w:shd w:val="clear" w:color="auto" w:fill="FFFFFF"/>
        </w:rPr>
      </w:pPr>
      <w:r w:rsidRPr="00EB1E82">
        <w:rPr>
          <w:shd w:val="clear" w:color="auto" w:fill="FFFFFF"/>
        </w:rPr>
        <w:t>Guy, H., 2019. Best practice: pressure ulcer risk assessment and grading. </w:t>
      </w:r>
      <w:r w:rsidRPr="00EB1E82">
        <w:rPr>
          <w:i/>
          <w:iCs/>
          <w:shd w:val="clear" w:color="auto" w:fill="FFFFFF"/>
        </w:rPr>
        <w:t>Learning disabilities</w:t>
      </w:r>
      <w:r w:rsidRPr="00EB1E82">
        <w:rPr>
          <w:shd w:val="clear" w:color="auto" w:fill="FFFFFF"/>
        </w:rPr>
        <w:t>, </w:t>
      </w:r>
      <w:r w:rsidRPr="00EB1E82">
        <w:rPr>
          <w:i/>
          <w:iCs/>
          <w:shd w:val="clear" w:color="auto" w:fill="FFFFFF"/>
        </w:rPr>
        <w:t>4</w:t>
      </w:r>
      <w:r w:rsidRPr="00EB1E82">
        <w:rPr>
          <w:shd w:val="clear" w:color="auto" w:fill="FFFFFF"/>
        </w:rPr>
        <w:t>, p.00.</w:t>
      </w:r>
    </w:p>
    <w:p w:rsidR="00B22CA8" w:rsidRPr="00EB1E82" w:rsidRDefault="00B22CA8" w:rsidP="00B22CA8">
      <w:pPr>
        <w:ind w:left="720" w:hanging="720"/>
        <w:rPr>
          <w:shd w:val="clear" w:color="auto" w:fill="FFFFFF"/>
        </w:rPr>
      </w:pPr>
      <w:r w:rsidRPr="00EB1E82">
        <w:rPr>
          <w:shd w:val="clear" w:color="auto" w:fill="FFFFFF"/>
        </w:rPr>
        <w:t xml:space="preserve">Han, G. and </w:t>
      </w:r>
      <w:proofErr w:type="spellStart"/>
      <w:r w:rsidRPr="00EB1E82">
        <w:rPr>
          <w:shd w:val="clear" w:color="auto" w:fill="FFFFFF"/>
        </w:rPr>
        <w:t>Ceilley</w:t>
      </w:r>
      <w:proofErr w:type="spellEnd"/>
      <w:r w:rsidRPr="00EB1E82">
        <w:rPr>
          <w:shd w:val="clear" w:color="auto" w:fill="FFFFFF"/>
        </w:rPr>
        <w:t>, R., 2017. Chronic wound healing: a review of current management and treatments. </w:t>
      </w:r>
      <w:r w:rsidRPr="00EB1E82">
        <w:rPr>
          <w:i/>
          <w:iCs/>
          <w:shd w:val="clear" w:color="auto" w:fill="FFFFFF"/>
        </w:rPr>
        <w:t>Advances in therapy</w:t>
      </w:r>
      <w:r w:rsidRPr="00EB1E82">
        <w:rPr>
          <w:shd w:val="clear" w:color="auto" w:fill="FFFFFF"/>
        </w:rPr>
        <w:t>, </w:t>
      </w:r>
      <w:r w:rsidRPr="00EB1E82">
        <w:rPr>
          <w:i/>
          <w:iCs/>
          <w:shd w:val="clear" w:color="auto" w:fill="FFFFFF"/>
        </w:rPr>
        <w:t>34</w:t>
      </w:r>
      <w:r w:rsidRPr="00EB1E82">
        <w:rPr>
          <w:shd w:val="clear" w:color="auto" w:fill="FFFFFF"/>
        </w:rPr>
        <w:t>(3), pp.599-610.</w:t>
      </w:r>
    </w:p>
    <w:p w:rsidR="00B22CA8" w:rsidRPr="00EB1E82" w:rsidRDefault="00B22CA8" w:rsidP="00B22CA8">
      <w:pPr>
        <w:ind w:left="720" w:hanging="720"/>
        <w:rPr>
          <w:shd w:val="clear" w:color="auto" w:fill="FFFFFF"/>
        </w:rPr>
      </w:pPr>
      <w:r w:rsidRPr="00EB1E82">
        <w:rPr>
          <w:shd w:val="clear" w:color="auto" w:fill="FFFFFF"/>
        </w:rPr>
        <w:t>Kennedy-Malone, L., Martin-Plank, L. and Duffy, E., 2018. </w:t>
      </w:r>
      <w:r w:rsidRPr="00EB1E82">
        <w:rPr>
          <w:i/>
          <w:iCs/>
          <w:shd w:val="clear" w:color="auto" w:fill="FFFFFF"/>
        </w:rPr>
        <w:t>Advanced practice nursing in the care of older adults</w:t>
      </w:r>
      <w:r w:rsidRPr="00EB1E82">
        <w:rPr>
          <w:shd w:val="clear" w:color="auto" w:fill="FFFFFF"/>
        </w:rPr>
        <w:t>. FA Davis.</w:t>
      </w:r>
    </w:p>
    <w:p w:rsidR="00B22CA8" w:rsidRPr="00EB1E82" w:rsidRDefault="00B22CA8" w:rsidP="00B22CA8">
      <w:pPr>
        <w:ind w:left="720" w:hanging="720"/>
        <w:rPr>
          <w:shd w:val="clear" w:color="auto" w:fill="FFFFFF"/>
        </w:rPr>
      </w:pPr>
      <w:r w:rsidRPr="00EB1E82">
        <w:rPr>
          <w:shd w:val="clear" w:color="auto" w:fill="FFFFFF"/>
        </w:rPr>
        <w:t xml:space="preserve">Lee, Y.J., Kim, J.Y. and Korean Association of Wound Ostomy Continence Nurses, 2016. Effects of pressure ulcer classification system education </w:t>
      </w:r>
      <w:proofErr w:type="spellStart"/>
      <w:r w:rsidRPr="00EB1E82">
        <w:rPr>
          <w:shd w:val="clear" w:color="auto" w:fill="FFFFFF"/>
        </w:rPr>
        <w:t>programme</w:t>
      </w:r>
      <w:proofErr w:type="spellEnd"/>
      <w:r w:rsidRPr="00EB1E82">
        <w:rPr>
          <w:shd w:val="clear" w:color="auto" w:fill="FFFFFF"/>
        </w:rPr>
        <w:t xml:space="preserve"> on knowledge and visual differential diagnostic ability of pressure ulcer classification and incontinence</w:t>
      </w:r>
      <w:r w:rsidRPr="00EB1E82">
        <w:rPr>
          <w:rFonts w:ascii="Cambria Math" w:hAnsi="Cambria Math" w:cs="Cambria Math"/>
          <w:shd w:val="clear" w:color="auto" w:fill="FFFFFF"/>
        </w:rPr>
        <w:t>‐</w:t>
      </w:r>
      <w:r w:rsidRPr="00EB1E82">
        <w:rPr>
          <w:shd w:val="clear" w:color="auto" w:fill="FFFFFF"/>
        </w:rPr>
        <w:t>associated dermatitis for clinical nurses in Korea. </w:t>
      </w:r>
      <w:r w:rsidRPr="00EB1E82">
        <w:rPr>
          <w:i/>
          <w:iCs/>
          <w:shd w:val="clear" w:color="auto" w:fill="FFFFFF"/>
        </w:rPr>
        <w:t>International wound journal</w:t>
      </w:r>
      <w:r w:rsidRPr="00EB1E82">
        <w:rPr>
          <w:shd w:val="clear" w:color="auto" w:fill="FFFFFF"/>
        </w:rPr>
        <w:t>, </w:t>
      </w:r>
      <w:r w:rsidRPr="00EB1E82">
        <w:rPr>
          <w:i/>
          <w:iCs/>
          <w:shd w:val="clear" w:color="auto" w:fill="FFFFFF"/>
        </w:rPr>
        <w:t>13</w:t>
      </w:r>
      <w:r w:rsidRPr="00EB1E82">
        <w:rPr>
          <w:shd w:val="clear" w:color="auto" w:fill="FFFFFF"/>
        </w:rPr>
        <w:t>, pp.26-32.</w:t>
      </w:r>
    </w:p>
    <w:p w:rsidR="00B22CA8" w:rsidRPr="00EB1E82" w:rsidRDefault="00B22CA8" w:rsidP="00B22CA8">
      <w:pPr>
        <w:ind w:left="720" w:hanging="720"/>
        <w:rPr>
          <w:shd w:val="clear" w:color="auto" w:fill="FFFFFF"/>
        </w:rPr>
      </w:pPr>
      <w:r w:rsidRPr="00EB1E82">
        <w:rPr>
          <w:shd w:val="clear" w:color="auto" w:fill="FFFFFF"/>
        </w:rPr>
        <w:t>Park, S.H., Lee, Y.S. and Kwon, Y.M., 2016. Predictive validity of pressure ulcer risk assessment tools for elderly: a meta-analysis. </w:t>
      </w:r>
      <w:r w:rsidRPr="00EB1E82">
        <w:rPr>
          <w:i/>
          <w:iCs/>
          <w:shd w:val="clear" w:color="auto" w:fill="FFFFFF"/>
        </w:rPr>
        <w:t>Western Journal of Nursing Research</w:t>
      </w:r>
      <w:r w:rsidRPr="00EB1E82">
        <w:rPr>
          <w:shd w:val="clear" w:color="auto" w:fill="FFFFFF"/>
        </w:rPr>
        <w:t>, </w:t>
      </w:r>
      <w:r w:rsidRPr="00EB1E82">
        <w:rPr>
          <w:i/>
          <w:iCs/>
          <w:shd w:val="clear" w:color="auto" w:fill="FFFFFF"/>
        </w:rPr>
        <w:t>38</w:t>
      </w:r>
      <w:r w:rsidRPr="00EB1E82">
        <w:rPr>
          <w:shd w:val="clear" w:color="auto" w:fill="FFFFFF"/>
        </w:rPr>
        <w:t>(4), pp.459-483.</w:t>
      </w:r>
    </w:p>
    <w:p w:rsidR="00B22CA8" w:rsidRPr="00EB1E82" w:rsidRDefault="00B22CA8" w:rsidP="00B22CA8">
      <w:pPr>
        <w:ind w:left="720" w:hanging="720"/>
        <w:rPr>
          <w:shd w:val="clear" w:color="auto" w:fill="FFFFFF"/>
        </w:rPr>
      </w:pPr>
      <w:r w:rsidRPr="00EB1E82">
        <w:rPr>
          <w:shd w:val="clear" w:color="auto" w:fill="FFFFFF"/>
        </w:rPr>
        <w:t>Payne, D., 2016. Strategies to support prevention, identification and management of pressure ulcers in the community. </w:t>
      </w:r>
      <w:r w:rsidRPr="00EB1E82">
        <w:rPr>
          <w:i/>
          <w:iCs/>
          <w:shd w:val="clear" w:color="auto" w:fill="FFFFFF"/>
        </w:rPr>
        <w:t>British journal of community nursing</w:t>
      </w:r>
      <w:r w:rsidRPr="00EB1E82">
        <w:rPr>
          <w:shd w:val="clear" w:color="auto" w:fill="FFFFFF"/>
        </w:rPr>
        <w:t>, </w:t>
      </w:r>
      <w:r w:rsidRPr="00EB1E82">
        <w:rPr>
          <w:i/>
          <w:iCs/>
          <w:shd w:val="clear" w:color="auto" w:fill="FFFFFF"/>
        </w:rPr>
        <w:t>21</w:t>
      </w:r>
      <w:r w:rsidRPr="00EB1E82">
        <w:rPr>
          <w:shd w:val="clear" w:color="auto" w:fill="FFFFFF"/>
        </w:rPr>
        <w:t xml:space="preserve">(Sup6), </w:t>
      </w:r>
      <w:proofErr w:type="gramStart"/>
      <w:r w:rsidRPr="00EB1E82">
        <w:rPr>
          <w:shd w:val="clear" w:color="auto" w:fill="FFFFFF"/>
        </w:rPr>
        <w:t>pp.S</w:t>
      </w:r>
      <w:proofErr w:type="gramEnd"/>
      <w:r w:rsidRPr="00EB1E82">
        <w:rPr>
          <w:shd w:val="clear" w:color="auto" w:fill="FFFFFF"/>
        </w:rPr>
        <w:t>10-S18.</w:t>
      </w:r>
    </w:p>
    <w:p w:rsidR="00B22CA8" w:rsidRPr="00EB1E82" w:rsidRDefault="00B22CA8" w:rsidP="00B22CA8">
      <w:pPr>
        <w:ind w:left="720" w:hanging="720"/>
        <w:rPr>
          <w:shd w:val="clear" w:color="auto" w:fill="FFFFFF"/>
        </w:rPr>
      </w:pPr>
      <w:r w:rsidRPr="00EB1E82">
        <w:rPr>
          <w:shd w:val="clear" w:color="auto" w:fill="FFFFFF"/>
        </w:rPr>
        <w:lastRenderedPageBreak/>
        <w:t>Richardson, A., Peart, J., Wright, S.E. and McCullagh, I.J., 2017. Reducing the incidence of pressure ulcers in critical care units: a 4-year quality improvement. </w:t>
      </w:r>
      <w:r w:rsidRPr="00EB1E82">
        <w:rPr>
          <w:i/>
          <w:iCs/>
          <w:shd w:val="clear" w:color="auto" w:fill="FFFFFF"/>
        </w:rPr>
        <w:t>International Journal for Quality in Health Care</w:t>
      </w:r>
      <w:r w:rsidRPr="00EB1E82">
        <w:rPr>
          <w:shd w:val="clear" w:color="auto" w:fill="FFFFFF"/>
        </w:rPr>
        <w:t>, pp.1-7.</w:t>
      </w:r>
    </w:p>
    <w:p w:rsidR="00B22CA8" w:rsidRPr="00EB1E82" w:rsidRDefault="00B22CA8" w:rsidP="00B22CA8">
      <w:pPr>
        <w:ind w:left="720" w:hanging="720"/>
        <w:rPr>
          <w:shd w:val="clear" w:color="auto" w:fill="FFFFFF"/>
        </w:rPr>
      </w:pPr>
      <w:r w:rsidRPr="00EB1E82">
        <w:rPr>
          <w:shd w:val="clear" w:color="auto" w:fill="FFFFFF"/>
        </w:rPr>
        <w:t>Smith, I.L., Nixon, J., Brown, S., Wilson, L. and Coleman, S., 2016. Pressure ulcer and wounds reporting in NHS hospitals in England part 1: audit of monitoring systems. </w:t>
      </w:r>
      <w:r w:rsidRPr="00EB1E82">
        <w:rPr>
          <w:i/>
          <w:iCs/>
          <w:shd w:val="clear" w:color="auto" w:fill="FFFFFF"/>
        </w:rPr>
        <w:t>Journal of tissue viability</w:t>
      </w:r>
      <w:r w:rsidRPr="00EB1E82">
        <w:rPr>
          <w:shd w:val="clear" w:color="auto" w:fill="FFFFFF"/>
        </w:rPr>
        <w:t>, </w:t>
      </w:r>
      <w:r w:rsidRPr="00EB1E82">
        <w:rPr>
          <w:i/>
          <w:iCs/>
          <w:shd w:val="clear" w:color="auto" w:fill="FFFFFF"/>
        </w:rPr>
        <w:t>25</w:t>
      </w:r>
      <w:r w:rsidRPr="00EB1E82">
        <w:rPr>
          <w:shd w:val="clear" w:color="auto" w:fill="FFFFFF"/>
        </w:rPr>
        <w:t>(1), pp.3-15.</w:t>
      </w:r>
    </w:p>
    <w:p w:rsidR="00B22CA8" w:rsidRPr="00EB1E82" w:rsidRDefault="00B22CA8" w:rsidP="00B22CA8">
      <w:pPr>
        <w:ind w:left="720" w:hanging="720"/>
        <w:rPr>
          <w:shd w:val="clear" w:color="auto" w:fill="FFFFFF"/>
        </w:rPr>
      </w:pPr>
      <w:proofErr w:type="spellStart"/>
      <w:r w:rsidRPr="00EB1E82">
        <w:rPr>
          <w:shd w:val="clear" w:color="auto" w:fill="FFFFFF"/>
        </w:rPr>
        <w:t>Tayyib</w:t>
      </w:r>
      <w:proofErr w:type="spellEnd"/>
      <w:r w:rsidRPr="00EB1E82">
        <w:rPr>
          <w:shd w:val="clear" w:color="auto" w:fill="FFFFFF"/>
        </w:rPr>
        <w:t>, N., Coyer, F. and Lewis, P.A., 2016. Implementing a pressure ulcer prevention bundle in an adult intensive care. </w:t>
      </w:r>
      <w:r w:rsidRPr="00EB1E82">
        <w:rPr>
          <w:i/>
          <w:iCs/>
          <w:shd w:val="clear" w:color="auto" w:fill="FFFFFF"/>
        </w:rPr>
        <w:t>Intensive and Critical Care Nursing</w:t>
      </w:r>
      <w:r w:rsidRPr="00EB1E82">
        <w:rPr>
          <w:shd w:val="clear" w:color="auto" w:fill="FFFFFF"/>
        </w:rPr>
        <w:t>, </w:t>
      </w:r>
      <w:r w:rsidRPr="00EB1E82">
        <w:rPr>
          <w:i/>
          <w:iCs/>
          <w:shd w:val="clear" w:color="auto" w:fill="FFFFFF"/>
        </w:rPr>
        <w:t>37</w:t>
      </w:r>
      <w:r w:rsidRPr="00EB1E82">
        <w:rPr>
          <w:shd w:val="clear" w:color="auto" w:fill="FFFFFF"/>
        </w:rPr>
        <w:t>, pp.27-36.</w:t>
      </w:r>
    </w:p>
    <w:p w:rsidR="00B22CA8" w:rsidRPr="00B22CA8" w:rsidRDefault="00B22CA8" w:rsidP="00B22CA8">
      <w:pPr>
        <w:ind w:left="720" w:hanging="720"/>
        <w:rPr>
          <w:shd w:val="clear" w:color="auto" w:fill="FFFFFF"/>
        </w:rPr>
      </w:pPr>
      <w:proofErr w:type="spellStart"/>
      <w:r w:rsidRPr="00EB1E82">
        <w:rPr>
          <w:shd w:val="clear" w:color="auto" w:fill="FFFFFF"/>
        </w:rPr>
        <w:t>Vélez</w:t>
      </w:r>
      <w:proofErr w:type="spellEnd"/>
      <w:r w:rsidRPr="00EB1E82">
        <w:rPr>
          <w:shd w:val="clear" w:color="auto" w:fill="FFFFFF"/>
        </w:rPr>
        <w:t>-Díaz-</w:t>
      </w:r>
      <w:proofErr w:type="spellStart"/>
      <w:r w:rsidRPr="00EB1E82">
        <w:rPr>
          <w:shd w:val="clear" w:color="auto" w:fill="FFFFFF"/>
        </w:rPr>
        <w:t>Pallarés</w:t>
      </w:r>
      <w:proofErr w:type="spellEnd"/>
      <w:r w:rsidRPr="00EB1E82">
        <w:rPr>
          <w:shd w:val="clear" w:color="auto" w:fill="FFFFFF"/>
        </w:rPr>
        <w:t xml:space="preserve">, M., Lozano-Montoya, I., Correa-Pérez, A., Abraha, I., Cherubini, A., </w:t>
      </w:r>
      <w:proofErr w:type="spellStart"/>
      <w:r w:rsidRPr="00EB1E82">
        <w:rPr>
          <w:shd w:val="clear" w:color="auto" w:fill="FFFFFF"/>
        </w:rPr>
        <w:t>Soiza</w:t>
      </w:r>
      <w:proofErr w:type="spellEnd"/>
      <w:r w:rsidRPr="00EB1E82">
        <w:rPr>
          <w:shd w:val="clear" w:color="auto" w:fill="FFFFFF"/>
        </w:rPr>
        <w:t xml:space="preserve">, R.L., </w:t>
      </w:r>
      <w:proofErr w:type="spellStart"/>
      <w:r w:rsidRPr="00EB1E82">
        <w:rPr>
          <w:shd w:val="clear" w:color="auto" w:fill="FFFFFF"/>
        </w:rPr>
        <w:t>O’Mahony</w:t>
      </w:r>
      <w:proofErr w:type="spellEnd"/>
      <w:r w:rsidRPr="00EB1E82">
        <w:rPr>
          <w:shd w:val="clear" w:color="auto" w:fill="FFFFFF"/>
        </w:rPr>
        <w:t>, D., Montero-</w:t>
      </w:r>
      <w:proofErr w:type="spellStart"/>
      <w:r w:rsidRPr="00EB1E82">
        <w:rPr>
          <w:shd w:val="clear" w:color="auto" w:fill="FFFFFF"/>
        </w:rPr>
        <w:t>Errasquin</w:t>
      </w:r>
      <w:proofErr w:type="spellEnd"/>
      <w:r w:rsidRPr="00EB1E82">
        <w:rPr>
          <w:shd w:val="clear" w:color="auto" w:fill="FFFFFF"/>
        </w:rPr>
        <w:t>, B. and Cruz-</w:t>
      </w:r>
      <w:proofErr w:type="spellStart"/>
      <w:r w:rsidRPr="00EB1E82">
        <w:rPr>
          <w:shd w:val="clear" w:color="auto" w:fill="FFFFFF"/>
        </w:rPr>
        <w:t>Jentoft</w:t>
      </w:r>
      <w:proofErr w:type="spellEnd"/>
      <w:r w:rsidRPr="00EB1E82">
        <w:rPr>
          <w:shd w:val="clear" w:color="auto" w:fill="FFFFFF"/>
        </w:rPr>
        <w:t>, A.J., 2016. Non-pharmacological interventions to prevent or treat pressure ulcers in older patients: Clinical practice recommendations. The SENATOR-ONTOP series. </w:t>
      </w:r>
      <w:r w:rsidRPr="00EB1E82">
        <w:rPr>
          <w:i/>
          <w:iCs/>
          <w:shd w:val="clear" w:color="auto" w:fill="FFFFFF"/>
        </w:rPr>
        <w:t>European Geriatric Medicine</w:t>
      </w:r>
      <w:r w:rsidRPr="00EB1E82">
        <w:rPr>
          <w:shd w:val="clear" w:color="auto" w:fill="FFFFFF"/>
        </w:rPr>
        <w:t>, </w:t>
      </w:r>
      <w:r w:rsidRPr="00EB1E82">
        <w:rPr>
          <w:i/>
          <w:iCs/>
          <w:shd w:val="clear" w:color="auto" w:fill="FFFFFF"/>
        </w:rPr>
        <w:t>7</w:t>
      </w:r>
      <w:r w:rsidRPr="00EB1E82">
        <w:rPr>
          <w:shd w:val="clear" w:color="auto" w:fill="FFFFFF"/>
        </w:rPr>
        <w:t>(2), pp.142-148.</w:t>
      </w:r>
    </w:p>
    <w:sectPr w:rsidR="00B22CA8" w:rsidRPr="00B22CA8" w:rsidSect="00EC6C9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F81"/>
    <w:rsid w:val="00316472"/>
    <w:rsid w:val="006400C6"/>
    <w:rsid w:val="00835F41"/>
    <w:rsid w:val="00B22CA8"/>
    <w:rsid w:val="00E22F81"/>
    <w:rsid w:val="00E620AC"/>
    <w:rsid w:val="00EC6C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72AB075"/>
  <w14:defaultImageDpi w14:val="32767"/>
  <w15:chartTrackingRefBased/>
  <w15:docId w15:val="{3DA6BAEB-E068-6A4F-974A-A5FB7D2DB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2F81"/>
    <w:pPr>
      <w:spacing w:before="120" w:after="120" w:line="480" w:lineRule="auto"/>
      <w:ind w:firstLine="720"/>
    </w:pPr>
    <w:rPr>
      <w:rFonts w:ascii="Times New Roman" w:eastAsiaTheme="minorEastAsia"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2C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ursinginpractice.com/article/management-pressure-ulc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1049</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Bin Kanan</dc:creator>
  <cp:keywords/>
  <dc:description/>
  <cp:lastModifiedBy>Abdulaziz Bin Kanan</cp:lastModifiedBy>
  <cp:revision>2</cp:revision>
  <dcterms:created xsi:type="dcterms:W3CDTF">2019-07-05T12:09:00Z</dcterms:created>
  <dcterms:modified xsi:type="dcterms:W3CDTF">2019-07-05T12:09:00Z</dcterms:modified>
</cp:coreProperties>
</file>