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631E4" w14:textId="77777777" w:rsidR="00221E04" w:rsidRDefault="007E2FA6" w:rsidP="007E2FA6">
      <w:pPr>
        <w:pStyle w:val="NormalWeb"/>
        <w:jc w:val="center"/>
        <w:rPr>
          <w:b/>
          <w:bCs/>
          <w:lang w:val="en-GB"/>
        </w:rPr>
      </w:pPr>
      <w:bookmarkStart w:id="0" w:name="_GoBack"/>
      <w:bookmarkEnd w:id="0"/>
      <w:r>
        <w:rPr>
          <w:b/>
          <w:bCs/>
          <w:lang w:val="en-GB"/>
        </w:rPr>
        <w:t>THE EFFECT OF EDUCATIONAL PROGRAM</w:t>
      </w:r>
      <w:r w:rsidR="00495C5E">
        <w:rPr>
          <w:b/>
          <w:bCs/>
          <w:lang w:val="en-GB"/>
        </w:rPr>
        <w:t xml:space="preserve"> ON NURSES’ KNOWLEDGE ABOUT PRESSURE ULCER</w:t>
      </w:r>
    </w:p>
    <w:p w14:paraId="4854B498" w14:textId="77777777" w:rsidR="00495C5E" w:rsidRDefault="00495C5E" w:rsidP="00495C5E">
      <w:pPr>
        <w:pStyle w:val="NormalWeb"/>
        <w:rPr>
          <w:b/>
          <w:bCs/>
          <w:lang w:val="en-GB"/>
        </w:rPr>
      </w:pPr>
      <w:r>
        <w:rPr>
          <w:b/>
          <w:bCs/>
          <w:lang w:val="en-GB"/>
        </w:rPr>
        <w:t>ABDULAZIZ BINKANAN</w:t>
      </w:r>
    </w:p>
    <w:p w14:paraId="74A110F8" w14:textId="77777777" w:rsidR="00495C5E" w:rsidRDefault="00495C5E" w:rsidP="00495C5E">
      <w:pPr>
        <w:pStyle w:val="NormalWeb"/>
        <w:rPr>
          <w:b/>
          <w:bCs/>
          <w:lang w:val="en-GB"/>
        </w:rPr>
      </w:pPr>
      <w:r>
        <w:rPr>
          <w:b/>
          <w:bCs/>
          <w:lang w:val="en-GB"/>
        </w:rPr>
        <w:t>KING SAUD MEDICAL CITY</w:t>
      </w:r>
    </w:p>
    <w:p w14:paraId="6214ED8E" w14:textId="77777777" w:rsidR="00495C5E" w:rsidRPr="007E2FA6" w:rsidRDefault="00495C5E" w:rsidP="00495C5E">
      <w:pPr>
        <w:pStyle w:val="NormalWeb"/>
        <w:rPr>
          <w:b/>
          <w:bCs/>
          <w:lang w:val="en-GB"/>
        </w:rPr>
      </w:pPr>
    </w:p>
    <w:p w14:paraId="57EA5D57" w14:textId="77777777" w:rsidR="00221E04" w:rsidRDefault="00221E04" w:rsidP="00633955">
      <w:pPr>
        <w:pStyle w:val="NormalWeb"/>
        <w:rPr>
          <w:lang w:val="en-GB"/>
        </w:rPr>
      </w:pPr>
    </w:p>
    <w:p w14:paraId="550BBD01" w14:textId="77777777" w:rsidR="00633955" w:rsidRDefault="00633955" w:rsidP="00633955">
      <w:pPr>
        <w:pStyle w:val="NormalWeb"/>
        <w:rPr>
          <w:rFonts w:ascii="TimesNewRomanPSMT" w:hAnsi="TimesNewRomanPSMT"/>
        </w:rPr>
      </w:pPr>
      <w:r>
        <w:rPr>
          <w:lang w:val="en-GB"/>
        </w:rPr>
        <w:t xml:space="preserve">Pressure ulcer is a global issue and lack of knowledge about pressure ulcer </w:t>
      </w:r>
      <w:r w:rsidR="007E2FA6">
        <w:rPr>
          <w:lang w:val="en-GB"/>
        </w:rPr>
        <w:t xml:space="preserve">among nurses </w:t>
      </w:r>
      <w:r>
        <w:rPr>
          <w:lang w:val="en-GB"/>
        </w:rPr>
        <w:t xml:space="preserve">been found. Therefore, </w:t>
      </w:r>
      <w:r>
        <w:rPr>
          <w:rFonts w:ascii="TimesNewRomanPSMT" w:hAnsi="TimesNewRomanPSMT"/>
          <w:lang w:val="en-GB"/>
        </w:rPr>
        <w:t>the aim</w:t>
      </w:r>
      <w:r>
        <w:rPr>
          <w:rFonts w:ascii="TimesNewRomanPSMT" w:hAnsi="TimesNewRomanPSMT"/>
        </w:rPr>
        <w:t xml:space="preserve"> of this study is to determine the effectiveness of an educational program on nurses’ knowledge related to pressure ulcer</w:t>
      </w:r>
      <w:r w:rsidR="007E2FA6">
        <w:rPr>
          <w:rFonts w:ascii="TimesNewRomanPSMT" w:hAnsi="TimesNewRomanPSMT"/>
        </w:rPr>
        <w:t xml:space="preserve">. </w:t>
      </w:r>
      <w:r>
        <w:rPr>
          <w:rFonts w:ascii="TimesNewRomanPSMT" w:hAnsi="TimesNewRomanPSMT"/>
        </w:rPr>
        <w:t>Moreover, if they have lack of knowledge related to pressure ulcer or the prevention and care of the pressure ulcer, then the lack of knowledge can be eliminated by the educational program or not.</w:t>
      </w:r>
    </w:p>
    <w:p w14:paraId="3E5EA681" w14:textId="77777777" w:rsidR="00221E04" w:rsidRDefault="00633955" w:rsidP="00221E04">
      <w:pPr>
        <w:pStyle w:val="NormalWeb"/>
        <w:rPr>
          <w:rFonts w:ascii="TimesNewRomanPSMT" w:hAnsi="TimesNewRomanPSMT"/>
        </w:rPr>
      </w:pPr>
      <w:r>
        <w:rPr>
          <w:rFonts w:ascii="TimesNewRomanPSMT" w:hAnsi="TimesNewRomanPSMT"/>
        </w:rPr>
        <w:t>52 registered nurses work in a medical city</w:t>
      </w:r>
      <w:r w:rsidR="00495C5E">
        <w:rPr>
          <w:rFonts w:ascii="TimesNewRomanPSMT" w:hAnsi="TimesNewRomanPSMT"/>
        </w:rPr>
        <w:t xml:space="preserve"> participated in this study</w:t>
      </w:r>
      <w:r>
        <w:rPr>
          <w:rFonts w:ascii="TimesNewRomanPSMT" w:hAnsi="TimesNewRomanPSMT"/>
        </w:rPr>
        <w:t xml:space="preserve"> and deal with pressure ulcer on daily basis.</w:t>
      </w:r>
      <w:r w:rsidR="00784563" w:rsidRPr="00784563">
        <w:rPr>
          <w:rFonts w:ascii="TimesNewRomanPSMT" w:hAnsi="TimesNewRomanPSMT"/>
        </w:rPr>
        <w:t xml:space="preserve"> </w:t>
      </w:r>
      <w:r w:rsidR="00784563">
        <w:rPr>
          <w:rFonts w:ascii="TimesNewRomanPSMT" w:hAnsi="TimesNewRomanPSMT"/>
        </w:rPr>
        <w:t>quasi- experimental design in which the study has two parts (Quantitative). A pre-test and post-test design used.</w:t>
      </w:r>
      <w:r>
        <w:rPr>
          <w:rFonts w:ascii="TimesNewRomanPSMT" w:hAnsi="TimesNewRomanPSMT"/>
        </w:rPr>
        <w:t xml:space="preserve"> A questionnaire distributed to the nurses to assess their knowledge</w:t>
      </w:r>
      <w:r w:rsidR="00784563">
        <w:rPr>
          <w:rFonts w:ascii="TimesNewRomanPSMT" w:hAnsi="TimesNewRomanPSMT"/>
        </w:rPr>
        <w:t xml:space="preserve"> before conducting the educational program</w:t>
      </w:r>
      <w:r>
        <w:rPr>
          <w:rFonts w:ascii="TimesNewRomanPSMT" w:hAnsi="TimesNewRomanPSMT"/>
        </w:rPr>
        <w:t xml:space="preserve">. Then </w:t>
      </w:r>
      <w:r w:rsidR="00784563">
        <w:rPr>
          <w:rFonts w:ascii="TimesNewRomanPSMT" w:hAnsi="TimesNewRomanPSMT"/>
        </w:rPr>
        <w:t>the</w:t>
      </w:r>
      <w:r>
        <w:rPr>
          <w:rFonts w:ascii="TimesNewRomanPSMT" w:hAnsi="TimesNewRomanPSMT"/>
        </w:rPr>
        <w:t xml:space="preserve"> educational </w:t>
      </w:r>
      <w:r w:rsidR="00784563">
        <w:rPr>
          <w:rFonts w:ascii="TimesNewRomanPSMT" w:hAnsi="TimesNewRomanPSMT"/>
        </w:rPr>
        <w:t>program</w:t>
      </w:r>
      <w:r>
        <w:rPr>
          <w:rFonts w:ascii="TimesNewRomanPSMT" w:hAnsi="TimesNewRomanPSMT"/>
        </w:rPr>
        <w:t xml:space="preserve"> delivered to them. </w:t>
      </w:r>
      <w:r w:rsidR="00784563">
        <w:rPr>
          <w:rFonts w:ascii="TimesNewRomanPSMT" w:hAnsi="TimesNewRomanPSMT"/>
        </w:rPr>
        <w:t>After that</w:t>
      </w:r>
      <w:r>
        <w:rPr>
          <w:rFonts w:ascii="TimesNewRomanPSMT" w:hAnsi="TimesNewRomanPSMT"/>
        </w:rPr>
        <w:t xml:space="preserve">, the same questionnaire given to them </w:t>
      </w:r>
      <w:r w:rsidR="00784563">
        <w:rPr>
          <w:rFonts w:ascii="TimesNewRomanPSMT" w:hAnsi="TimesNewRomanPSMT"/>
        </w:rPr>
        <w:t>for comparison.</w:t>
      </w:r>
      <w:r w:rsidR="00221E04">
        <w:rPr>
          <w:rFonts w:ascii="TimesNewRomanPSMT" w:hAnsi="TimesNewRomanPSMT"/>
        </w:rPr>
        <w:t xml:space="preserve"> </w:t>
      </w:r>
      <w:r w:rsidR="00784563">
        <w:rPr>
          <w:rFonts w:ascii="TimesNewRomanPSMT" w:hAnsi="TimesNewRomanPSMT"/>
        </w:rPr>
        <w:t>After the collection of data, the ratio of the correct answers of the pre-test and post-test were compared.</w:t>
      </w:r>
      <w:r w:rsidR="00221E04">
        <w:rPr>
          <w:rFonts w:ascii="TimesNewRomanPSMT" w:hAnsi="TimesNewRomanPSMT"/>
        </w:rPr>
        <w:t xml:space="preserve"> Statistical Package for Social Science used. </w:t>
      </w:r>
    </w:p>
    <w:p w14:paraId="50268638" w14:textId="77777777" w:rsidR="007E2FA6" w:rsidRDefault="007E2FA6" w:rsidP="007E2FA6">
      <w:pPr>
        <w:rPr>
          <w:lang w:val="en-GB"/>
        </w:rPr>
      </w:pPr>
      <w:r>
        <w:rPr>
          <w:rFonts w:ascii="TimesNewRomanPSMT" w:hAnsi="TimesNewRomanPSMT"/>
        </w:rPr>
        <w:t>A</w:t>
      </w:r>
      <w:r w:rsidR="00221E04">
        <w:rPr>
          <w:rFonts w:ascii="TimesNewRomanPSMT" w:hAnsi="TimesNewRomanPSMT"/>
        </w:rPr>
        <w:t>fter implement</w:t>
      </w:r>
      <w:r>
        <w:rPr>
          <w:rFonts w:ascii="TimesNewRomanPSMT" w:hAnsi="TimesNewRomanPSMT"/>
        </w:rPr>
        <w:t>ing</w:t>
      </w:r>
      <w:r w:rsidR="00221E04">
        <w:rPr>
          <w:rFonts w:ascii="TimesNewRomanPSMT" w:hAnsi="TimesNewRomanPSMT"/>
        </w:rPr>
        <w:t xml:space="preserve"> the educational program majority of nurses provided the correct answers to the same questionnaire and the lack of knowledge can be eliminated by the educational program.</w:t>
      </w:r>
      <w:r>
        <w:rPr>
          <w:rFonts w:ascii="TimesNewRomanPSMT" w:hAnsi="TimesNewRomanPSMT"/>
        </w:rPr>
        <w:t xml:space="preserve"> Moreover, </w:t>
      </w:r>
      <w:r>
        <w:rPr>
          <w:lang w:val="en-GB"/>
        </w:rPr>
        <w:t>a</w:t>
      </w:r>
      <w:r w:rsidRPr="002C0D17">
        <w:rPr>
          <w:lang w:val="en-GB"/>
        </w:rPr>
        <w:t>round 25% correct answers of the questionnaire while in the post-test, the nurses gave approximately 97% correct answers.</w:t>
      </w:r>
    </w:p>
    <w:p w14:paraId="70F7E6A3" w14:textId="77777777" w:rsidR="00221E04" w:rsidRDefault="00221E04" w:rsidP="00221E04">
      <w:pPr>
        <w:pStyle w:val="NormalWeb"/>
      </w:pPr>
      <w:r>
        <w:rPr>
          <w:rFonts w:ascii="TimesNewRomanPSMT" w:hAnsi="TimesNewRomanPSMT"/>
        </w:rPr>
        <w:t xml:space="preserve"> </w:t>
      </w:r>
    </w:p>
    <w:tbl>
      <w:tblPr>
        <w:tblW w:w="4947" w:type="dxa"/>
        <w:tblCellMar>
          <w:top w:w="15" w:type="dxa"/>
          <w:left w:w="15" w:type="dxa"/>
          <w:bottom w:w="15" w:type="dxa"/>
          <w:right w:w="15" w:type="dxa"/>
        </w:tblCellMar>
        <w:tblLook w:val="04A0" w:firstRow="1" w:lastRow="0" w:firstColumn="1" w:lastColumn="0" w:noHBand="0" w:noVBand="1"/>
      </w:tblPr>
      <w:tblGrid>
        <w:gridCol w:w="1634"/>
        <w:gridCol w:w="642"/>
        <w:gridCol w:w="515"/>
        <w:gridCol w:w="580"/>
        <w:gridCol w:w="633"/>
        <w:gridCol w:w="445"/>
        <w:gridCol w:w="498"/>
      </w:tblGrid>
      <w:tr w:rsidR="00221E04" w:rsidRPr="000E6D46" w14:paraId="539214DE" w14:textId="77777777" w:rsidTr="006F7127">
        <w:trPr>
          <w:trHeight w:val="183"/>
        </w:trPr>
        <w:tc>
          <w:tcPr>
            <w:tcW w:w="4947" w:type="dxa"/>
            <w:gridSpan w:val="7"/>
            <w:tcBorders>
              <w:top w:val="single" w:sz="2" w:space="0" w:color="auto"/>
              <w:left w:val="single" w:sz="12" w:space="0" w:color="000000"/>
              <w:bottom w:val="single" w:sz="18" w:space="0" w:color="0A0A0A"/>
              <w:right w:val="single" w:sz="18" w:space="0" w:color="000000"/>
            </w:tcBorders>
            <w:shd w:val="clear" w:color="auto" w:fill="FFFFFF"/>
            <w:vAlign w:val="center"/>
            <w:hideMark/>
          </w:tcPr>
          <w:p w14:paraId="7157E250"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 w:eastAsia="Times New Roman" w:hAnsi="TimesNewRomanPS" w:cs="Times New Roman"/>
                <w:b/>
                <w:bCs/>
                <w:sz w:val="18"/>
                <w:szCs w:val="18"/>
              </w:rPr>
              <w:t xml:space="preserve">Table 1 to show the Tests of Normality </w:t>
            </w:r>
          </w:p>
        </w:tc>
      </w:tr>
      <w:tr w:rsidR="00221E04" w:rsidRPr="000E6D46" w14:paraId="3BA70D9C" w14:textId="77777777" w:rsidTr="006F7127">
        <w:trPr>
          <w:trHeight w:val="195"/>
        </w:trPr>
        <w:tc>
          <w:tcPr>
            <w:tcW w:w="0" w:type="auto"/>
            <w:vMerge w:val="restart"/>
            <w:tcBorders>
              <w:top w:val="single" w:sz="18" w:space="0" w:color="0C0C0C"/>
              <w:left w:val="single" w:sz="12" w:space="0" w:color="000000"/>
              <w:bottom w:val="single" w:sz="18" w:space="0" w:color="0F0F0F"/>
              <w:right w:val="single" w:sz="18" w:space="0" w:color="000000"/>
            </w:tcBorders>
            <w:shd w:val="clear" w:color="auto" w:fill="FFFFFF"/>
            <w:vAlign w:val="center"/>
            <w:hideMark/>
          </w:tcPr>
          <w:p w14:paraId="26376197" w14:textId="77777777" w:rsidR="00221E04" w:rsidRPr="000E6D46" w:rsidRDefault="00221E04" w:rsidP="006F7127">
            <w:pPr>
              <w:rPr>
                <w:rFonts w:ascii="Times New Roman" w:eastAsia="Times New Roman" w:hAnsi="Times New Roman" w:cs="Times New Roman"/>
              </w:rPr>
            </w:pPr>
          </w:p>
        </w:tc>
        <w:tc>
          <w:tcPr>
            <w:tcW w:w="1740" w:type="dxa"/>
            <w:gridSpan w:val="3"/>
            <w:tcBorders>
              <w:top w:val="single" w:sz="18" w:space="0" w:color="0C0C0C"/>
              <w:left w:val="single" w:sz="18" w:space="0" w:color="000000"/>
              <w:bottom w:val="single" w:sz="18" w:space="0" w:color="8E8E8E"/>
              <w:right w:val="single" w:sz="8" w:space="0" w:color="000000"/>
            </w:tcBorders>
            <w:shd w:val="clear" w:color="auto" w:fill="FFFFFF"/>
            <w:vAlign w:val="center"/>
            <w:hideMark/>
          </w:tcPr>
          <w:p w14:paraId="35A7A8A3"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Kolmogorov-Smirnov</w:t>
            </w:r>
            <w:r w:rsidRPr="000E6D46">
              <w:rPr>
                <w:rFonts w:ascii="TimesNewRomanPSMT" w:eastAsia="Times New Roman" w:hAnsi="TimesNewRomanPSMT" w:cs="Times New Roman"/>
                <w:position w:val="6"/>
                <w:sz w:val="12"/>
                <w:szCs w:val="12"/>
              </w:rPr>
              <w:t xml:space="preserve">a </w:t>
            </w:r>
          </w:p>
        </w:tc>
        <w:tc>
          <w:tcPr>
            <w:tcW w:w="1576" w:type="dxa"/>
            <w:gridSpan w:val="3"/>
            <w:tcBorders>
              <w:top w:val="single" w:sz="18" w:space="0" w:color="0C0C0C"/>
              <w:left w:val="single" w:sz="8" w:space="0" w:color="000000"/>
              <w:bottom w:val="single" w:sz="18" w:space="0" w:color="919191"/>
              <w:right w:val="single" w:sz="18" w:space="0" w:color="000000"/>
            </w:tcBorders>
            <w:shd w:val="clear" w:color="auto" w:fill="FFFFFF"/>
            <w:vAlign w:val="center"/>
            <w:hideMark/>
          </w:tcPr>
          <w:p w14:paraId="7BFD3354"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Shapiro-Wilk </w:t>
            </w:r>
          </w:p>
        </w:tc>
      </w:tr>
      <w:tr w:rsidR="00221E04" w:rsidRPr="000E6D46" w14:paraId="1A30766E" w14:textId="77777777" w:rsidTr="006F7127">
        <w:trPr>
          <w:trHeight w:val="241"/>
        </w:trPr>
        <w:tc>
          <w:tcPr>
            <w:tcW w:w="0" w:type="auto"/>
            <w:vMerge/>
            <w:tcBorders>
              <w:top w:val="single" w:sz="18" w:space="0" w:color="0C0C0C"/>
              <w:left w:val="single" w:sz="12" w:space="0" w:color="000000"/>
              <w:bottom w:val="single" w:sz="18" w:space="0" w:color="0F0F0F"/>
              <w:right w:val="single" w:sz="18" w:space="0" w:color="000000"/>
            </w:tcBorders>
            <w:vAlign w:val="center"/>
            <w:hideMark/>
          </w:tcPr>
          <w:p w14:paraId="12C1E953" w14:textId="77777777" w:rsidR="00221E04" w:rsidRPr="000E6D46" w:rsidRDefault="00221E04" w:rsidP="006F7127">
            <w:pPr>
              <w:rPr>
                <w:rFonts w:ascii="Times New Roman" w:eastAsia="Times New Roman" w:hAnsi="Times New Roman" w:cs="Times New Roman"/>
              </w:rPr>
            </w:pPr>
          </w:p>
        </w:tc>
        <w:tc>
          <w:tcPr>
            <w:tcW w:w="0" w:type="auto"/>
            <w:tcBorders>
              <w:top w:val="single" w:sz="18" w:space="0" w:color="AFAFAF"/>
              <w:left w:val="single" w:sz="18" w:space="0" w:color="000000"/>
              <w:bottom w:val="single" w:sz="18" w:space="0" w:color="0C0C0C"/>
              <w:right w:val="single" w:sz="8" w:space="0" w:color="000000"/>
            </w:tcBorders>
            <w:shd w:val="clear" w:color="auto" w:fill="FFFFFF"/>
            <w:vAlign w:val="center"/>
            <w:hideMark/>
          </w:tcPr>
          <w:p w14:paraId="3420CBDA"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Statistic </w:t>
            </w:r>
          </w:p>
        </w:tc>
        <w:tc>
          <w:tcPr>
            <w:tcW w:w="490" w:type="dxa"/>
            <w:tcBorders>
              <w:top w:val="single" w:sz="18" w:space="0" w:color="AFAFAF"/>
              <w:left w:val="single" w:sz="8" w:space="0" w:color="000000"/>
              <w:bottom w:val="single" w:sz="18" w:space="0" w:color="0C0C0C"/>
              <w:right w:val="single" w:sz="8" w:space="0" w:color="000000"/>
            </w:tcBorders>
            <w:shd w:val="clear" w:color="auto" w:fill="FFFFFF"/>
            <w:vAlign w:val="center"/>
            <w:hideMark/>
          </w:tcPr>
          <w:p w14:paraId="69393499"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df </w:t>
            </w:r>
          </w:p>
        </w:tc>
        <w:tc>
          <w:tcPr>
            <w:tcW w:w="551" w:type="dxa"/>
            <w:tcBorders>
              <w:top w:val="single" w:sz="18" w:space="0" w:color="AFAFAF"/>
              <w:left w:val="single" w:sz="8" w:space="0" w:color="000000"/>
              <w:bottom w:val="single" w:sz="18" w:space="0" w:color="0C0C0C"/>
              <w:right w:val="single" w:sz="8" w:space="0" w:color="000000"/>
            </w:tcBorders>
            <w:shd w:val="clear" w:color="auto" w:fill="FFFFFF"/>
            <w:vAlign w:val="center"/>
            <w:hideMark/>
          </w:tcPr>
          <w:p w14:paraId="52A3B995"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Sig. </w:t>
            </w:r>
          </w:p>
        </w:tc>
        <w:tc>
          <w:tcPr>
            <w:tcW w:w="633" w:type="dxa"/>
            <w:tcBorders>
              <w:top w:val="single" w:sz="18" w:space="0" w:color="AFAFAF"/>
              <w:left w:val="single" w:sz="8" w:space="0" w:color="000000"/>
              <w:bottom w:val="single" w:sz="18" w:space="0" w:color="0C0C0C"/>
              <w:right w:val="single" w:sz="8" w:space="0" w:color="000000"/>
            </w:tcBorders>
            <w:shd w:val="clear" w:color="auto" w:fill="FFFFFF"/>
            <w:vAlign w:val="center"/>
            <w:hideMark/>
          </w:tcPr>
          <w:p w14:paraId="6E136776"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Statistic </w:t>
            </w:r>
          </w:p>
        </w:tc>
        <w:tc>
          <w:tcPr>
            <w:tcW w:w="445" w:type="dxa"/>
            <w:tcBorders>
              <w:top w:val="single" w:sz="18" w:space="0" w:color="AFAFAF"/>
              <w:left w:val="single" w:sz="8" w:space="0" w:color="000000"/>
              <w:bottom w:val="single" w:sz="18" w:space="0" w:color="0C0C0C"/>
              <w:right w:val="single" w:sz="8" w:space="0" w:color="000000"/>
            </w:tcBorders>
            <w:shd w:val="clear" w:color="auto" w:fill="FFFFFF"/>
            <w:vAlign w:val="center"/>
            <w:hideMark/>
          </w:tcPr>
          <w:p w14:paraId="79750E01"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df </w:t>
            </w:r>
          </w:p>
        </w:tc>
        <w:tc>
          <w:tcPr>
            <w:tcW w:w="498" w:type="dxa"/>
            <w:tcBorders>
              <w:top w:val="single" w:sz="18" w:space="0" w:color="AFAFAF"/>
              <w:left w:val="single" w:sz="8" w:space="0" w:color="000000"/>
              <w:bottom w:val="single" w:sz="18" w:space="0" w:color="0C0C0C"/>
              <w:right w:val="single" w:sz="18" w:space="0" w:color="000000"/>
            </w:tcBorders>
            <w:shd w:val="clear" w:color="auto" w:fill="FFFFFF"/>
            <w:vAlign w:val="center"/>
            <w:hideMark/>
          </w:tcPr>
          <w:p w14:paraId="1AA72B2F" w14:textId="77777777" w:rsidR="00221E04" w:rsidRPr="000E6D46" w:rsidRDefault="00221E04" w:rsidP="006F7127">
            <w:pPr>
              <w:spacing w:before="100" w:beforeAutospacing="1" w:after="100" w:afterAutospacing="1"/>
              <w:rPr>
                <w:rFonts w:ascii="Times New Roman" w:eastAsia="Times New Roman" w:hAnsi="Times New Roman" w:cs="Times New Roman"/>
              </w:rPr>
            </w:pPr>
            <w:r w:rsidRPr="000E6D46">
              <w:rPr>
                <w:rFonts w:ascii="TimesNewRomanPSMT" w:eastAsia="Times New Roman" w:hAnsi="TimesNewRomanPSMT" w:cs="Times New Roman"/>
                <w:sz w:val="18"/>
                <w:szCs w:val="18"/>
              </w:rPr>
              <w:t xml:space="preserve">Sig. </w:t>
            </w:r>
          </w:p>
        </w:tc>
      </w:tr>
      <w:tr w:rsidR="00221E04" w:rsidRPr="000E6D46" w14:paraId="61487406" w14:textId="77777777" w:rsidTr="006F7127">
        <w:trPr>
          <w:trHeight w:val="1054"/>
        </w:trPr>
        <w:tc>
          <w:tcPr>
            <w:tcW w:w="0" w:type="auto"/>
            <w:tcBorders>
              <w:top w:val="single" w:sz="18" w:space="0" w:color="0F0F0F"/>
              <w:left w:val="single" w:sz="12" w:space="0" w:color="000000"/>
              <w:bottom w:val="single" w:sz="18" w:space="0" w:color="0C0C0C"/>
              <w:right w:val="single" w:sz="18" w:space="0" w:color="000000"/>
            </w:tcBorders>
            <w:shd w:val="clear" w:color="auto" w:fill="FFFFFF"/>
            <w:vAlign w:val="center"/>
            <w:hideMark/>
          </w:tcPr>
          <w:p w14:paraId="503C10F5" w14:textId="77777777" w:rsidR="00221E04" w:rsidRDefault="00221E04" w:rsidP="006F7127">
            <w:pPr>
              <w:spacing w:before="100" w:beforeAutospacing="1" w:after="100" w:afterAutospacing="1"/>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 xml:space="preserve">Score before Education </w:t>
            </w:r>
          </w:p>
          <w:p w14:paraId="2B636D48" w14:textId="77777777" w:rsidR="00221E04" w:rsidRPr="000E6D46" w:rsidRDefault="00221E04" w:rsidP="006F7127">
            <w:pPr>
              <w:spacing w:before="100" w:beforeAutospacing="1" w:after="100" w:afterAutospacing="1"/>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 xml:space="preserve">Score after Education </w:t>
            </w:r>
          </w:p>
        </w:tc>
        <w:tc>
          <w:tcPr>
            <w:tcW w:w="0" w:type="auto"/>
            <w:tcBorders>
              <w:top w:val="single" w:sz="18" w:space="0" w:color="0C0C0C"/>
              <w:left w:val="single" w:sz="18" w:space="0" w:color="000000"/>
              <w:bottom w:val="single" w:sz="18" w:space="0" w:color="0C0C0C"/>
              <w:right w:val="single" w:sz="8" w:space="0" w:color="000000"/>
            </w:tcBorders>
            <w:shd w:val="clear" w:color="auto" w:fill="FFFFFF"/>
            <w:vAlign w:val="center"/>
            <w:hideMark/>
          </w:tcPr>
          <w:p w14:paraId="20643AAD" w14:textId="77777777" w:rsidR="00221E04"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.100</w:t>
            </w:r>
          </w:p>
          <w:p w14:paraId="402BB851" w14:textId="77777777" w:rsidR="00221E04" w:rsidRPr="000E6D46" w:rsidRDefault="00221E04" w:rsidP="006F7127">
            <w:pPr>
              <w:spacing w:before="100" w:beforeAutospacing="1" w:after="100" w:afterAutospacing="1"/>
              <w:jc w:val="center"/>
              <w:rPr>
                <w:rFonts w:ascii="Times New Roman" w:eastAsia="Times New Roman" w:hAnsi="Times New Roman" w:cs="Times New Roman"/>
              </w:rPr>
            </w:pPr>
            <w:r w:rsidRPr="000E6D46">
              <w:rPr>
                <w:rFonts w:ascii="TimesNewRomanPSMT" w:eastAsia="Times New Roman" w:hAnsi="TimesNewRomanPSMT" w:cs="Times New Roman"/>
                <w:sz w:val="18"/>
                <w:szCs w:val="18"/>
              </w:rPr>
              <w:t>.232</w:t>
            </w:r>
          </w:p>
        </w:tc>
        <w:tc>
          <w:tcPr>
            <w:tcW w:w="490" w:type="dxa"/>
            <w:tcBorders>
              <w:top w:val="single" w:sz="18" w:space="0" w:color="0C0C0C"/>
              <w:left w:val="single" w:sz="8" w:space="0" w:color="000000"/>
              <w:bottom w:val="single" w:sz="18" w:space="0" w:color="0C0C0C"/>
              <w:right w:val="single" w:sz="8" w:space="0" w:color="000000"/>
            </w:tcBorders>
            <w:shd w:val="clear" w:color="auto" w:fill="FFFFFF"/>
            <w:vAlign w:val="center"/>
            <w:hideMark/>
          </w:tcPr>
          <w:p w14:paraId="684AE17A" w14:textId="77777777" w:rsidR="00221E04"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52</w:t>
            </w:r>
          </w:p>
          <w:p w14:paraId="1BB8EE4C" w14:textId="77777777" w:rsidR="00221E04" w:rsidRPr="000E6D46" w:rsidRDefault="00221E04" w:rsidP="006F7127">
            <w:pPr>
              <w:spacing w:before="100" w:beforeAutospacing="1" w:after="100" w:afterAutospacing="1"/>
              <w:jc w:val="center"/>
              <w:rPr>
                <w:rFonts w:ascii="Times New Roman" w:eastAsia="Times New Roman" w:hAnsi="Times New Roman" w:cs="Times New Roman"/>
              </w:rPr>
            </w:pPr>
            <w:r w:rsidRPr="000E6D46">
              <w:rPr>
                <w:rFonts w:ascii="TimesNewRomanPSMT" w:eastAsia="Times New Roman" w:hAnsi="TimesNewRomanPSMT" w:cs="Times New Roman"/>
                <w:sz w:val="18"/>
                <w:szCs w:val="18"/>
              </w:rPr>
              <w:t>52</w:t>
            </w:r>
          </w:p>
        </w:tc>
        <w:tc>
          <w:tcPr>
            <w:tcW w:w="551" w:type="dxa"/>
            <w:tcBorders>
              <w:top w:val="single" w:sz="18" w:space="0" w:color="0C0C0C"/>
              <w:left w:val="single" w:sz="8" w:space="0" w:color="000000"/>
              <w:bottom w:val="single" w:sz="18" w:space="0" w:color="0C0C0C"/>
              <w:right w:val="single" w:sz="8" w:space="0" w:color="000000"/>
            </w:tcBorders>
            <w:shd w:val="clear" w:color="auto" w:fill="FFFFFF"/>
            <w:vAlign w:val="center"/>
            <w:hideMark/>
          </w:tcPr>
          <w:p w14:paraId="209A9F72" w14:textId="77777777" w:rsidR="00221E04"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.200</w:t>
            </w:r>
          </w:p>
          <w:p w14:paraId="66E396FA" w14:textId="77777777" w:rsidR="00221E04" w:rsidRPr="000E6D46"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.000</w:t>
            </w:r>
          </w:p>
        </w:tc>
        <w:tc>
          <w:tcPr>
            <w:tcW w:w="633" w:type="dxa"/>
            <w:tcBorders>
              <w:top w:val="single" w:sz="18" w:space="0" w:color="0C0C0C"/>
              <w:left w:val="single" w:sz="8" w:space="0" w:color="000000"/>
              <w:bottom w:val="single" w:sz="18" w:space="0" w:color="0C0C0C"/>
              <w:right w:val="single" w:sz="8" w:space="0" w:color="000000"/>
            </w:tcBorders>
            <w:shd w:val="clear" w:color="auto" w:fill="FFFFFF"/>
            <w:vAlign w:val="center"/>
            <w:hideMark/>
          </w:tcPr>
          <w:p w14:paraId="4423E85C" w14:textId="77777777" w:rsidR="00221E04"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.970</w:t>
            </w:r>
          </w:p>
          <w:p w14:paraId="3095EEB5" w14:textId="77777777" w:rsidR="00221E04" w:rsidRPr="000E6D46" w:rsidRDefault="00221E04" w:rsidP="006F7127">
            <w:pPr>
              <w:spacing w:before="100" w:beforeAutospacing="1" w:after="100" w:afterAutospacing="1"/>
              <w:jc w:val="center"/>
              <w:rPr>
                <w:rFonts w:ascii="Times New Roman" w:eastAsia="Times New Roman" w:hAnsi="Times New Roman" w:cs="Times New Roman"/>
              </w:rPr>
            </w:pPr>
            <w:r w:rsidRPr="000E6D46">
              <w:rPr>
                <w:rFonts w:ascii="TimesNewRomanPSMT" w:eastAsia="Times New Roman" w:hAnsi="TimesNewRomanPSMT" w:cs="Times New Roman"/>
                <w:sz w:val="18"/>
                <w:szCs w:val="18"/>
              </w:rPr>
              <w:t>.644</w:t>
            </w:r>
          </w:p>
        </w:tc>
        <w:tc>
          <w:tcPr>
            <w:tcW w:w="445" w:type="dxa"/>
            <w:tcBorders>
              <w:top w:val="single" w:sz="18" w:space="0" w:color="0C0C0C"/>
              <w:left w:val="single" w:sz="8" w:space="0" w:color="000000"/>
              <w:bottom w:val="single" w:sz="18" w:space="0" w:color="0C0C0C"/>
              <w:right w:val="single" w:sz="8" w:space="0" w:color="000000"/>
            </w:tcBorders>
            <w:shd w:val="clear" w:color="auto" w:fill="FFFFFF"/>
            <w:vAlign w:val="center"/>
            <w:hideMark/>
          </w:tcPr>
          <w:p w14:paraId="02F37511" w14:textId="77777777" w:rsidR="00221E04"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52</w:t>
            </w:r>
          </w:p>
          <w:p w14:paraId="50DEC273" w14:textId="77777777" w:rsidR="00221E04" w:rsidRPr="000E6D46" w:rsidRDefault="00221E04" w:rsidP="006F7127">
            <w:pPr>
              <w:spacing w:before="100" w:beforeAutospacing="1" w:after="100" w:afterAutospacing="1"/>
              <w:jc w:val="center"/>
              <w:rPr>
                <w:rFonts w:ascii="Times New Roman" w:eastAsia="Times New Roman" w:hAnsi="Times New Roman" w:cs="Times New Roman"/>
              </w:rPr>
            </w:pPr>
            <w:r w:rsidRPr="000E6D46">
              <w:rPr>
                <w:rFonts w:ascii="TimesNewRomanPSMT" w:eastAsia="Times New Roman" w:hAnsi="TimesNewRomanPSMT" w:cs="Times New Roman"/>
                <w:sz w:val="18"/>
                <w:szCs w:val="18"/>
              </w:rPr>
              <w:t>52</w:t>
            </w:r>
          </w:p>
        </w:tc>
        <w:tc>
          <w:tcPr>
            <w:tcW w:w="498" w:type="dxa"/>
            <w:tcBorders>
              <w:top w:val="single" w:sz="18" w:space="0" w:color="0C0C0C"/>
              <w:left w:val="single" w:sz="8" w:space="0" w:color="000000"/>
              <w:bottom w:val="single" w:sz="18" w:space="0" w:color="0A0A0A"/>
              <w:right w:val="single" w:sz="18" w:space="0" w:color="000000"/>
            </w:tcBorders>
            <w:shd w:val="clear" w:color="auto" w:fill="FFFFFF"/>
            <w:vAlign w:val="center"/>
            <w:hideMark/>
          </w:tcPr>
          <w:p w14:paraId="0CD6953E" w14:textId="77777777" w:rsidR="00221E04" w:rsidRDefault="00221E04" w:rsidP="006F7127">
            <w:pPr>
              <w:spacing w:before="100" w:beforeAutospacing="1" w:after="100" w:afterAutospacing="1"/>
              <w:jc w:val="center"/>
              <w:rPr>
                <w:rFonts w:ascii="TimesNewRomanPSMT" w:eastAsia="Times New Roman" w:hAnsi="TimesNewRomanPSMT" w:cs="Times New Roman"/>
                <w:sz w:val="18"/>
                <w:szCs w:val="18"/>
              </w:rPr>
            </w:pPr>
            <w:r w:rsidRPr="000E6D46">
              <w:rPr>
                <w:rFonts w:ascii="TimesNewRomanPSMT" w:eastAsia="Times New Roman" w:hAnsi="TimesNewRomanPSMT" w:cs="Times New Roman"/>
                <w:sz w:val="18"/>
                <w:szCs w:val="18"/>
              </w:rPr>
              <w:t>.202</w:t>
            </w:r>
          </w:p>
          <w:p w14:paraId="1F281F60" w14:textId="77777777" w:rsidR="00221E04" w:rsidRPr="000E6D46" w:rsidRDefault="00221E04" w:rsidP="006F7127">
            <w:pPr>
              <w:spacing w:before="100" w:beforeAutospacing="1" w:after="100" w:afterAutospacing="1"/>
              <w:jc w:val="center"/>
              <w:rPr>
                <w:rFonts w:ascii="Times New Roman" w:eastAsia="Times New Roman" w:hAnsi="Times New Roman" w:cs="Times New Roman"/>
              </w:rPr>
            </w:pPr>
            <w:r w:rsidRPr="000E6D46">
              <w:rPr>
                <w:rFonts w:ascii="TimesNewRomanPSMT" w:eastAsia="Times New Roman" w:hAnsi="TimesNewRomanPSMT" w:cs="Times New Roman"/>
                <w:sz w:val="18"/>
                <w:szCs w:val="18"/>
              </w:rPr>
              <w:t>.000</w:t>
            </w:r>
          </w:p>
        </w:tc>
      </w:tr>
      <w:tr w:rsidR="00221E04" w:rsidRPr="000E6D46" w14:paraId="67AB679D" w14:textId="77777777" w:rsidTr="006F7127">
        <w:trPr>
          <w:trHeight w:val="16"/>
        </w:trPr>
        <w:tc>
          <w:tcPr>
            <w:tcW w:w="4947" w:type="dxa"/>
            <w:gridSpan w:val="7"/>
            <w:tcBorders>
              <w:top w:val="single" w:sz="18" w:space="0" w:color="000000"/>
              <w:left w:val="single" w:sz="12" w:space="0" w:color="000000"/>
              <w:bottom w:val="single" w:sz="2" w:space="0" w:color="auto"/>
              <w:right w:val="single" w:sz="18" w:space="0" w:color="000000"/>
            </w:tcBorders>
            <w:shd w:val="clear" w:color="auto" w:fill="FFFFFF"/>
            <w:vAlign w:val="center"/>
            <w:hideMark/>
          </w:tcPr>
          <w:p w14:paraId="3397F554" w14:textId="77777777" w:rsidR="00221E04" w:rsidRPr="000E6D46" w:rsidRDefault="00221E04" w:rsidP="006F7127">
            <w:pPr>
              <w:rPr>
                <w:rFonts w:ascii="Times New Roman" w:eastAsia="Times New Roman" w:hAnsi="Times New Roman" w:cs="Times New Roman"/>
              </w:rPr>
            </w:pPr>
          </w:p>
        </w:tc>
      </w:tr>
    </w:tbl>
    <w:p w14:paraId="35B2D28B" w14:textId="77777777" w:rsidR="001910E2" w:rsidRDefault="00BB77A7" w:rsidP="00221E04">
      <w:pPr>
        <w:pStyle w:val="NormalWeb"/>
      </w:pPr>
    </w:p>
    <w:p w14:paraId="2843F68A" w14:textId="77777777" w:rsidR="00221E04" w:rsidRDefault="00221E04" w:rsidP="00221E04">
      <w:pPr>
        <w:pStyle w:val="NormalWeb"/>
      </w:pPr>
    </w:p>
    <w:p w14:paraId="5255D004" w14:textId="77777777" w:rsidR="00221E04" w:rsidRDefault="00221E04" w:rsidP="00221E04">
      <w:pPr>
        <w:pStyle w:val="NormalWeb"/>
      </w:pPr>
    </w:p>
    <w:p w14:paraId="411A1906" w14:textId="77777777" w:rsidR="00221E04" w:rsidRDefault="00221E04" w:rsidP="00221E04">
      <w:pPr>
        <w:pStyle w:val="NormalWeb"/>
      </w:pPr>
    </w:p>
    <w:p w14:paraId="213EC06A" w14:textId="77777777" w:rsidR="00221E04" w:rsidRDefault="00221E04" w:rsidP="00221E04">
      <w:pPr>
        <w:pStyle w:val="NormalWeb"/>
      </w:pPr>
    </w:p>
    <w:p w14:paraId="7F68760D" w14:textId="77777777" w:rsidR="00221E04" w:rsidRPr="000E6D46" w:rsidRDefault="00221E04" w:rsidP="00221E04">
      <w:pPr>
        <w:rPr>
          <w:rFonts w:ascii="Times New Roman" w:eastAsia="Times New Roman" w:hAnsi="Times New Roman" w:cs="Times New Roman"/>
        </w:rPr>
      </w:pPr>
      <w:r w:rsidRPr="000E6D46">
        <w:rPr>
          <w:rFonts w:ascii="Times New Roman" w:eastAsia="Times New Roman" w:hAnsi="Times New Roman" w:cs="Times New Roman"/>
        </w:rPr>
        <w:lastRenderedPageBreak/>
        <w:fldChar w:fldCharType="begin"/>
      </w:r>
      <w:r w:rsidRPr="000E6D46">
        <w:rPr>
          <w:rFonts w:ascii="Times New Roman" w:eastAsia="Times New Roman" w:hAnsi="Times New Roman" w:cs="Times New Roman"/>
        </w:rPr>
        <w:instrText xml:space="preserve"> INCLUDEPICTURE "/var/folders/7n/9t2wd65s78ndxnklqllf4qr00000gn/T/com.microsoft.Word/WebArchiveCopyPasteTempFiles/page47image57251104" \* MERGEFORMATINET </w:instrText>
      </w:r>
      <w:r w:rsidRPr="000E6D46">
        <w:rPr>
          <w:rFonts w:ascii="Times New Roman" w:eastAsia="Times New Roman" w:hAnsi="Times New Roman" w:cs="Times New Roman"/>
        </w:rPr>
        <w:fldChar w:fldCharType="separate"/>
      </w:r>
      <w:r w:rsidRPr="000E6D46">
        <w:rPr>
          <w:rFonts w:ascii="Times New Roman" w:eastAsia="Times New Roman" w:hAnsi="Times New Roman" w:cs="Times New Roman"/>
          <w:noProof/>
        </w:rPr>
        <w:drawing>
          <wp:inline distT="0" distB="0" distL="0" distR="0" wp14:anchorId="5180E62F" wp14:editId="590B729D">
            <wp:extent cx="2528570" cy="2019935"/>
            <wp:effectExtent l="0" t="0" r="0" b="0"/>
            <wp:docPr id="2" name="Picture 2" descr="page47image5725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7image5725110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8570" cy="2019935"/>
                    </a:xfrm>
                    <a:prstGeom prst="rect">
                      <a:avLst/>
                    </a:prstGeom>
                    <a:noFill/>
                    <a:ln>
                      <a:noFill/>
                    </a:ln>
                  </pic:spPr>
                </pic:pic>
              </a:graphicData>
            </a:graphic>
          </wp:inline>
        </w:drawing>
      </w:r>
      <w:r w:rsidRPr="000E6D46">
        <w:rPr>
          <w:rFonts w:ascii="Times New Roman" w:eastAsia="Times New Roman" w:hAnsi="Times New Roman" w:cs="Times New Roman"/>
        </w:rPr>
        <w:fldChar w:fldCharType="end"/>
      </w:r>
    </w:p>
    <w:p w14:paraId="6585BEDE" w14:textId="77777777" w:rsidR="00221E04" w:rsidRPr="000E6D46" w:rsidRDefault="00221E04" w:rsidP="00221E04">
      <w:pPr>
        <w:spacing w:before="100" w:beforeAutospacing="1" w:after="100" w:afterAutospacing="1"/>
        <w:rPr>
          <w:rFonts w:ascii="Times New Roman" w:eastAsia="Times New Roman" w:hAnsi="Times New Roman" w:cs="Times New Roman"/>
        </w:rPr>
      </w:pPr>
    </w:p>
    <w:p w14:paraId="56F82516" w14:textId="77777777" w:rsidR="00221E04" w:rsidRDefault="00221E04" w:rsidP="00221E04">
      <w:pPr>
        <w:pStyle w:val="NormalWeb"/>
      </w:pPr>
      <w:r w:rsidRPr="000E6D46">
        <w:fldChar w:fldCharType="begin"/>
      </w:r>
      <w:r w:rsidRPr="000E6D46">
        <w:instrText xml:space="preserve"> INCLUDEPICTURE "/var/folders/7n/9t2wd65s78ndxnklqllf4qr00000gn/T/com.microsoft.Word/WebArchiveCopyPasteTempFiles/page48image57171264" \* MERGEFORMATINET </w:instrText>
      </w:r>
      <w:r w:rsidRPr="000E6D46">
        <w:fldChar w:fldCharType="separate"/>
      </w:r>
      <w:r w:rsidRPr="000E6D46">
        <w:rPr>
          <w:noProof/>
        </w:rPr>
        <w:drawing>
          <wp:inline distT="0" distB="0" distL="0" distR="0" wp14:anchorId="2738CD33" wp14:editId="4924E10A">
            <wp:extent cx="2528570" cy="2019935"/>
            <wp:effectExtent l="0" t="0" r="0" b="0"/>
            <wp:docPr id="1" name="Picture 1" descr="page48image5717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48image571712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8570" cy="2019935"/>
                    </a:xfrm>
                    <a:prstGeom prst="rect">
                      <a:avLst/>
                    </a:prstGeom>
                    <a:noFill/>
                    <a:ln>
                      <a:noFill/>
                    </a:ln>
                  </pic:spPr>
                </pic:pic>
              </a:graphicData>
            </a:graphic>
          </wp:inline>
        </w:drawing>
      </w:r>
      <w:r w:rsidRPr="000E6D46">
        <w:fldChar w:fldCharType="end"/>
      </w:r>
    </w:p>
    <w:p w14:paraId="08B3A00D" w14:textId="77777777" w:rsidR="00221E04" w:rsidRDefault="00221E04" w:rsidP="00221E04">
      <w:pPr>
        <w:pStyle w:val="NormalWeb"/>
      </w:pPr>
    </w:p>
    <w:p w14:paraId="6E0FCB24" w14:textId="77777777" w:rsidR="00221E04" w:rsidRPr="000E6D46" w:rsidRDefault="00221E04" w:rsidP="00221E04">
      <w:pPr>
        <w:rPr>
          <w:rFonts w:ascii="Times New Roman" w:eastAsia="Times New Roman" w:hAnsi="Times New Roman" w:cs="Times New Roman"/>
        </w:rPr>
      </w:pPr>
      <w:r w:rsidRPr="000E6D46">
        <w:rPr>
          <w:rFonts w:ascii="Times New Roman" w:eastAsia="Times New Roman" w:hAnsi="Times New Roman" w:cs="Times New Roman"/>
        </w:rPr>
        <w:lastRenderedPageBreak/>
        <w:fldChar w:fldCharType="begin"/>
      </w:r>
      <w:r w:rsidRPr="000E6D46">
        <w:rPr>
          <w:rFonts w:ascii="Times New Roman" w:eastAsia="Times New Roman" w:hAnsi="Times New Roman" w:cs="Times New Roman"/>
        </w:rPr>
        <w:instrText xml:space="preserve"> INCLUDEPICTURE "/var/folders/7n/9t2wd65s78ndxnklqllf4qr00000gn/T/com.microsoft.Word/WebArchiveCopyPasteTempFiles/page52image57193264" \* MERGEFORMATINET </w:instrText>
      </w:r>
      <w:r w:rsidRPr="000E6D46">
        <w:rPr>
          <w:rFonts w:ascii="Times New Roman" w:eastAsia="Times New Roman" w:hAnsi="Times New Roman" w:cs="Times New Roman"/>
        </w:rPr>
        <w:fldChar w:fldCharType="separate"/>
      </w:r>
      <w:r w:rsidRPr="000E6D46">
        <w:rPr>
          <w:rFonts w:ascii="Times New Roman" w:eastAsia="Times New Roman" w:hAnsi="Times New Roman" w:cs="Times New Roman"/>
          <w:noProof/>
        </w:rPr>
        <w:drawing>
          <wp:inline distT="0" distB="0" distL="0" distR="0" wp14:anchorId="26DA095C" wp14:editId="15A5E844">
            <wp:extent cx="4810760" cy="3872230"/>
            <wp:effectExtent l="0" t="0" r="0" b="0"/>
            <wp:docPr id="572" name="Picture 572" descr="page52image5719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5" descr="page52image571932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0760" cy="3872230"/>
                    </a:xfrm>
                    <a:prstGeom prst="rect">
                      <a:avLst/>
                    </a:prstGeom>
                    <a:noFill/>
                    <a:ln>
                      <a:noFill/>
                    </a:ln>
                  </pic:spPr>
                </pic:pic>
              </a:graphicData>
            </a:graphic>
          </wp:inline>
        </w:drawing>
      </w:r>
      <w:r w:rsidRPr="000E6D46">
        <w:rPr>
          <w:rFonts w:ascii="Times New Roman" w:eastAsia="Times New Roman" w:hAnsi="Times New Roman" w:cs="Times New Roman"/>
        </w:rPr>
        <w:fldChar w:fldCharType="end"/>
      </w:r>
    </w:p>
    <w:p w14:paraId="6EF11BA9" w14:textId="77777777" w:rsidR="00221E04" w:rsidRDefault="00221E04" w:rsidP="00221E04">
      <w:pPr>
        <w:pStyle w:val="NormalWeb"/>
      </w:pPr>
    </w:p>
    <w:p w14:paraId="32BF1EB4" w14:textId="77777777" w:rsidR="007E2FA6" w:rsidRDefault="007E2FA6" w:rsidP="007E2FA6">
      <w:pPr>
        <w:ind w:firstLine="720"/>
        <w:rPr>
          <w:lang w:val="en-GB"/>
        </w:rPr>
      </w:pPr>
      <w:r w:rsidRPr="002C0D17">
        <w:rPr>
          <w:lang w:val="en-GB"/>
        </w:rPr>
        <w:t xml:space="preserve">Among several </w:t>
      </w:r>
      <w:r w:rsidRPr="002C0D17">
        <w:rPr>
          <w:noProof/>
          <w:lang w:val="en-GB"/>
        </w:rPr>
        <w:t>studies,</w:t>
      </w:r>
      <w:r w:rsidRPr="002C0D17">
        <w:rPr>
          <w:lang w:val="en-GB"/>
        </w:rPr>
        <w:t xml:space="preserve"> </w:t>
      </w:r>
      <w:r>
        <w:rPr>
          <w:lang w:val="en-GB"/>
        </w:rPr>
        <w:t>many</w:t>
      </w:r>
      <w:r w:rsidRPr="002C0D17">
        <w:rPr>
          <w:lang w:val="en-GB"/>
        </w:rPr>
        <w:t xml:space="preserve"> of the studies are </w:t>
      </w:r>
      <w:r>
        <w:rPr>
          <w:lang w:val="en-GB"/>
        </w:rPr>
        <w:t xml:space="preserve">considered </w:t>
      </w:r>
      <w:r w:rsidRPr="002C0D17">
        <w:rPr>
          <w:lang w:val="en-GB"/>
        </w:rPr>
        <w:t xml:space="preserve">in this study to provide a clear perception that the educational and training program can enhance the knowledge of nurses related to the pressure ulcer </w:t>
      </w:r>
      <w:r w:rsidRPr="002C0D17">
        <w:rPr>
          <w:rFonts w:cs="Times New Roman"/>
          <w:noProof/>
          <w:color w:val="222222"/>
          <w:shd w:val="clear" w:color="auto" w:fill="FFFFFF"/>
          <w:lang w:val="en-GB"/>
        </w:rPr>
        <w:t>(Bergman et al., 2015</w:t>
      </w:r>
      <w:r>
        <w:rPr>
          <w:rFonts w:cs="Times New Roman"/>
          <w:noProof/>
          <w:color w:val="222222"/>
          <w:shd w:val="clear" w:color="auto" w:fill="FFFFFF"/>
          <w:lang w:val="en-GB"/>
        </w:rPr>
        <w:t xml:space="preserve">; </w:t>
      </w:r>
      <w:r>
        <w:rPr>
          <w:shd w:val="clear" w:color="auto" w:fill="FFFFFF"/>
        </w:rPr>
        <w:t xml:space="preserve">Qaddumi, J. and Khawaldeh, 2016, p. 6; </w:t>
      </w:r>
      <w:r w:rsidRPr="002C0D17">
        <w:rPr>
          <w:rFonts w:cs="Times New Roman"/>
          <w:color w:val="222222"/>
          <w:shd w:val="clear" w:color="auto" w:fill="FFFFFF"/>
          <w:lang w:val="en-GB"/>
        </w:rPr>
        <w:t>Monami et al., 2015</w:t>
      </w:r>
      <w:r w:rsidRPr="002C0D17">
        <w:rPr>
          <w:rFonts w:cs="Times New Roman"/>
          <w:noProof/>
          <w:color w:val="222222"/>
          <w:shd w:val="clear" w:color="auto" w:fill="FFFFFF"/>
          <w:lang w:val="en-GB"/>
        </w:rPr>
        <w:t>)</w:t>
      </w:r>
      <w:r>
        <w:rPr>
          <w:lang w:val="en-GB"/>
        </w:rPr>
        <w:t xml:space="preserve">. </w:t>
      </w:r>
      <w:r w:rsidRPr="002C0D17">
        <w:rPr>
          <w:noProof/>
          <w:lang w:val="en-GB"/>
        </w:rPr>
        <w:t>Moreover, the study and results show that there is a need of associational and a professional training program in</w:t>
      </w:r>
      <w:r>
        <w:rPr>
          <w:noProof/>
          <w:lang w:val="en-GB"/>
        </w:rPr>
        <w:t xml:space="preserve"> this field.</w:t>
      </w:r>
    </w:p>
    <w:p w14:paraId="6909A00D" w14:textId="77777777" w:rsidR="007E2FA6" w:rsidRDefault="007E2FA6" w:rsidP="00221E04">
      <w:pPr>
        <w:pStyle w:val="NormalWeb"/>
        <w:rPr>
          <w:lang w:val="en-GB"/>
        </w:rPr>
      </w:pPr>
    </w:p>
    <w:p w14:paraId="314E098F" w14:textId="77777777" w:rsidR="00B62A71" w:rsidRDefault="00B62A71" w:rsidP="00221E04">
      <w:pPr>
        <w:pStyle w:val="NormalWeb"/>
        <w:rPr>
          <w:lang w:val="en-GB"/>
        </w:rPr>
      </w:pPr>
    </w:p>
    <w:p w14:paraId="19D18FF0" w14:textId="77777777" w:rsidR="002A043B" w:rsidRDefault="002A043B" w:rsidP="00221E04">
      <w:pPr>
        <w:pStyle w:val="NormalWeb"/>
        <w:rPr>
          <w:lang w:val="en-GB"/>
        </w:rPr>
      </w:pPr>
    </w:p>
    <w:p w14:paraId="178BADA0" w14:textId="77777777" w:rsidR="002A043B" w:rsidRDefault="002A043B" w:rsidP="00221E04">
      <w:pPr>
        <w:pStyle w:val="NormalWeb"/>
        <w:rPr>
          <w:lang w:val="en-GB"/>
        </w:rPr>
      </w:pPr>
    </w:p>
    <w:p w14:paraId="649098E2" w14:textId="77777777" w:rsidR="002A043B" w:rsidRDefault="002A043B" w:rsidP="00221E04">
      <w:pPr>
        <w:pStyle w:val="NormalWeb"/>
        <w:rPr>
          <w:lang w:val="en-GB"/>
        </w:rPr>
      </w:pPr>
    </w:p>
    <w:p w14:paraId="1A45F410" w14:textId="77777777" w:rsidR="002A043B" w:rsidRDefault="002A043B" w:rsidP="00221E04">
      <w:pPr>
        <w:pStyle w:val="NormalWeb"/>
        <w:rPr>
          <w:lang w:val="en-GB"/>
        </w:rPr>
      </w:pPr>
    </w:p>
    <w:p w14:paraId="08B0DB1D" w14:textId="77777777" w:rsidR="002A043B" w:rsidRDefault="002A043B" w:rsidP="00221E04">
      <w:pPr>
        <w:pStyle w:val="NormalWeb"/>
        <w:rPr>
          <w:lang w:val="en-GB"/>
        </w:rPr>
      </w:pPr>
    </w:p>
    <w:p w14:paraId="03D29E16" w14:textId="77777777" w:rsidR="002A043B" w:rsidRDefault="002A043B" w:rsidP="00221E04">
      <w:pPr>
        <w:pStyle w:val="NormalWeb"/>
        <w:rPr>
          <w:lang w:val="en-GB"/>
        </w:rPr>
      </w:pPr>
    </w:p>
    <w:p w14:paraId="42076E76" w14:textId="77777777" w:rsidR="002A043B" w:rsidRDefault="002A043B" w:rsidP="00221E04">
      <w:pPr>
        <w:pStyle w:val="NormalWeb"/>
        <w:rPr>
          <w:lang w:val="en-GB"/>
        </w:rPr>
      </w:pPr>
    </w:p>
    <w:p w14:paraId="32256EBF" w14:textId="77777777" w:rsidR="002A043B" w:rsidRPr="002C0D17" w:rsidRDefault="002A043B" w:rsidP="002A043B">
      <w:pPr>
        <w:pStyle w:val="Heading1"/>
        <w:numPr>
          <w:ilvl w:val="0"/>
          <w:numId w:val="0"/>
        </w:numPr>
        <w:ind w:left="360" w:hanging="360"/>
        <w:rPr>
          <w:lang w:val="en-GB"/>
        </w:rPr>
      </w:pPr>
      <w:bookmarkStart w:id="1" w:name="_Toc520817861"/>
      <w:bookmarkStart w:id="2" w:name="_Toc524010133"/>
      <w:r w:rsidRPr="002C0D17">
        <w:rPr>
          <w:lang w:val="en-GB"/>
        </w:rPr>
        <w:lastRenderedPageBreak/>
        <w:t>References:</w:t>
      </w:r>
      <w:bookmarkEnd w:id="1"/>
      <w:bookmarkEnd w:id="2"/>
    </w:p>
    <w:p w14:paraId="611672F8"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Aqoulah, E.A.A., Ismail, S., Juni, M.H., Shahar, H.K. and Tubaishat, A., 2018. EFFECT OF EDUCATIONAL INTERVENTION ON PRESSURE ULCER DOCUMENTATION AMONG NURSES IN JORDAN MINISTRY OF HEALTH TERTIARY HOSPITALS: A QUASI-</w:t>
      </w:r>
      <w:r>
        <w:rPr>
          <w:rFonts w:cs="Times New Roman"/>
          <w:color w:val="222222"/>
          <w:shd w:val="clear" w:color="auto" w:fill="FFFFFF"/>
          <w:lang w:val="en-GB"/>
        </w:rPr>
        <w:t>EXPERIMENTAL RESEARCH APPROACH.</w:t>
      </w:r>
    </w:p>
    <w:p w14:paraId="35458F47" w14:textId="77777777" w:rsidR="002A043B" w:rsidRPr="002C0D17" w:rsidRDefault="002A043B" w:rsidP="002A043B">
      <w:pPr>
        <w:ind w:left="720" w:hanging="720"/>
        <w:rPr>
          <w:rFonts w:cs="Times New Roman"/>
          <w:shd w:val="clear" w:color="auto" w:fill="FFFFFF"/>
          <w:lang w:val="en-GB"/>
        </w:rPr>
      </w:pPr>
      <w:r w:rsidRPr="002C0D17">
        <w:rPr>
          <w:rFonts w:cs="Times New Roman"/>
          <w:shd w:val="clear" w:color="auto" w:fill="FFFFFF"/>
          <w:lang w:val="en-GB"/>
        </w:rPr>
        <w:t>Beeckman, D., Defloor, T., Schoonhoven, L. and Vanderwee, K., 2011. Knowledge and attitudes of nurses on pressure ulcer prevention: a cross‐sectional multicenter study in Belgian hospitals. </w:t>
      </w:r>
      <w:r w:rsidRPr="002C0D17">
        <w:rPr>
          <w:rFonts w:cs="Times New Roman"/>
          <w:i/>
          <w:iCs/>
          <w:shd w:val="clear" w:color="auto" w:fill="FFFFFF"/>
          <w:lang w:val="en-GB"/>
        </w:rPr>
        <w:t>Worldviews on Evidence‐Based Nursing</w:t>
      </w:r>
      <w:r w:rsidRPr="002C0D17">
        <w:rPr>
          <w:rFonts w:cs="Times New Roman"/>
          <w:shd w:val="clear" w:color="auto" w:fill="FFFFFF"/>
          <w:lang w:val="en-GB"/>
        </w:rPr>
        <w:t>, </w:t>
      </w:r>
      <w:r w:rsidRPr="002C0D17">
        <w:rPr>
          <w:rFonts w:cs="Times New Roman"/>
          <w:i/>
          <w:iCs/>
          <w:shd w:val="clear" w:color="auto" w:fill="FFFFFF"/>
          <w:lang w:val="en-GB"/>
        </w:rPr>
        <w:t>8</w:t>
      </w:r>
      <w:r>
        <w:rPr>
          <w:rFonts w:cs="Times New Roman"/>
          <w:shd w:val="clear" w:color="auto" w:fill="FFFFFF"/>
          <w:lang w:val="en-GB"/>
        </w:rPr>
        <w:t>(3), pp.166-176.</w:t>
      </w:r>
    </w:p>
    <w:p w14:paraId="489661F2"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Bos, B.S., Wangen, T.M., Elbing Jr, C.E., Rowekamp, D.J., Kruggel, H.A., Conlon, P.M., Scroggins, L.M., Schad, S.P., Neumann, J.A., Barth, M.M. and Grubbs, P.L., 2016. Pressure Ulcer Prevention: Where Practice and Education Meet. </w:t>
      </w:r>
      <w:r w:rsidRPr="002C0D17">
        <w:rPr>
          <w:rFonts w:cs="Times New Roman"/>
          <w:i/>
          <w:iCs/>
          <w:color w:val="222222"/>
          <w:shd w:val="clear" w:color="auto" w:fill="FFFFFF"/>
          <w:lang w:val="en-GB"/>
        </w:rPr>
        <w:t>Journal for nurses in professional development</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32</w:t>
      </w:r>
      <w:r w:rsidRPr="002C0D17">
        <w:rPr>
          <w:rFonts w:cs="Times New Roman"/>
          <w:color w:val="222222"/>
          <w:shd w:val="clear" w:color="auto" w:fill="FFFFFF"/>
          <w:lang w:val="en-GB"/>
        </w:rPr>
        <w:t>(2), pp.94-98.</w:t>
      </w:r>
    </w:p>
    <w:p w14:paraId="4C3861DF" w14:textId="77777777" w:rsidR="002A043B" w:rsidRPr="002C0D17" w:rsidRDefault="002A043B" w:rsidP="002A043B">
      <w:pPr>
        <w:ind w:left="720" w:hanging="720"/>
        <w:rPr>
          <w:rFonts w:cs="Times New Roman"/>
          <w:lang w:val="en-GB"/>
        </w:rPr>
      </w:pPr>
      <w:r w:rsidRPr="002C0D17">
        <w:rPr>
          <w:rFonts w:cs="Times New Roman"/>
          <w:lang w:val="en-GB"/>
        </w:rPr>
        <w:t>Claudia, G., Diane, M., Daphney, S.G. and Danièle, D., 2010. Prevention and treatment of pressure ulcers in a university hospital centre: a correlational study examining nurses' knowledge and best practice. International journal of nursing practice, 16(2), pp.183-187.</w:t>
      </w:r>
    </w:p>
    <w:p w14:paraId="2A0F8380"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El Enein, N.Y.A. and Zaghloul, A.A., 2011. Nurses' knowledge of prevention and management of pressure ulcer at a Health Insurance Hospital in Alexandria. </w:t>
      </w:r>
      <w:r w:rsidRPr="002C0D17">
        <w:rPr>
          <w:rFonts w:cs="Times New Roman"/>
          <w:i/>
          <w:iCs/>
          <w:color w:val="222222"/>
          <w:shd w:val="clear" w:color="auto" w:fill="FFFFFF"/>
          <w:lang w:val="en-GB"/>
        </w:rPr>
        <w:t>International journal of nursing practice</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17</w:t>
      </w:r>
      <w:r w:rsidRPr="002C0D17">
        <w:rPr>
          <w:rFonts w:cs="Times New Roman"/>
          <w:color w:val="222222"/>
          <w:shd w:val="clear" w:color="auto" w:fill="FFFFFF"/>
          <w:lang w:val="en-GB"/>
        </w:rPr>
        <w:t>(3), pp.262-268.</w:t>
      </w:r>
    </w:p>
    <w:p w14:paraId="30349706"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Hulsenboom, M.A., Bours, G.J. and Halfens, R.J., 2007. Knowledge of pressure ulcer prevention: a cross-sectional and comparative study among nurses. </w:t>
      </w:r>
      <w:r w:rsidRPr="002C0D17">
        <w:rPr>
          <w:rFonts w:cs="Times New Roman"/>
          <w:i/>
          <w:iCs/>
          <w:color w:val="222222"/>
          <w:shd w:val="clear" w:color="auto" w:fill="FFFFFF"/>
          <w:lang w:val="en-GB"/>
        </w:rPr>
        <w:t>BMC nursing</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6</w:t>
      </w:r>
      <w:r>
        <w:rPr>
          <w:rFonts w:cs="Times New Roman"/>
          <w:color w:val="222222"/>
          <w:shd w:val="clear" w:color="auto" w:fill="FFFFFF"/>
          <w:lang w:val="en-GB"/>
        </w:rPr>
        <w:t>(1), p.2.</w:t>
      </w:r>
    </w:p>
    <w:p w14:paraId="6C928CA1" w14:textId="77777777" w:rsidR="002A043B" w:rsidRPr="002C0D17" w:rsidRDefault="002A043B" w:rsidP="002A043B">
      <w:pPr>
        <w:ind w:left="720" w:hanging="720"/>
        <w:rPr>
          <w:rFonts w:cs="Times New Roman"/>
          <w:shd w:val="clear" w:color="auto" w:fill="FFFFFF"/>
          <w:lang w:val="en-GB"/>
        </w:rPr>
      </w:pPr>
      <w:r w:rsidRPr="002C0D17">
        <w:rPr>
          <w:rFonts w:cs="Times New Roman"/>
          <w:shd w:val="clear" w:color="auto" w:fill="FFFFFF"/>
          <w:lang w:val="en-GB"/>
        </w:rPr>
        <w:t>Källman, U. and Suserud, B.O., 2009. Knowledge, attitudes and practice among nursing staff concerning pressure ulcer prevention and treatment–a survey in a Swedish healthcare setting. </w:t>
      </w:r>
      <w:r w:rsidRPr="002C0D17">
        <w:rPr>
          <w:rFonts w:cs="Times New Roman"/>
          <w:i/>
          <w:iCs/>
          <w:shd w:val="clear" w:color="auto" w:fill="FFFFFF"/>
          <w:lang w:val="en-GB"/>
        </w:rPr>
        <w:t>Scandinavian journal of caring sciences</w:t>
      </w:r>
      <w:r w:rsidRPr="002C0D17">
        <w:rPr>
          <w:rFonts w:cs="Times New Roman"/>
          <w:shd w:val="clear" w:color="auto" w:fill="FFFFFF"/>
          <w:lang w:val="en-GB"/>
        </w:rPr>
        <w:t>, </w:t>
      </w:r>
      <w:r w:rsidRPr="002C0D17">
        <w:rPr>
          <w:rFonts w:cs="Times New Roman"/>
          <w:i/>
          <w:iCs/>
          <w:shd w:val="clear" w:color="auto" w:fill="FFFFFF"/>
          <w:lang w:val="en-GB"/>
        </w:rPr>
        <w:t>23</w:t>
      </w:r>
      <w:r w:rsidRPr="002C0D17">
        <w:rPr>
          <w:rFonts w:cs="Times New Roman"/>
          <w:shd w:val="clear" w:color="auto" w:fill="FFFFFF"/>
          <w:lang w:val="en-GB"/>
        </w:rPr>
        <w:t>(2), pp.334-341.</w:t>
      </w:r>
    </w:p>
    <w:p w14:paraId="4D29F951"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 xml:space="preserve">Köse, I. and Öztunç, G., 2016. Knowledge of Nurses Working in Intensive Care Units </w:t>
      </w:r>
      <w:r w:rsidRPr="002C0D17">
        <w:rPr>
          <w:rFonts w:cs="Times New Roman"/>
          <w:noProof/>
          <w:color w:val="222222"/>
          <w:shd w:val="clear" w:color="auto" w:fill="FFFFFF"/>
          <w:lang w:val="en-GB"/>
        </w:rPr>
        <w:t>in Relation to</w:t>
      </w:r>
      <w:r w:rsidRPr="002C0D17">
        <w:rPr>
          <w:rFonts w:cs="Times New Roman"/>
          <w:color w:val="222222"/>
          <w:shd w:val="clear" w:color="auto" w:fill="FFFFFF"/>
          <w:lang w:val="en-GB"/>
        </w:rPr>
        <w:t xml:space="preserve"> Preventive Interventions for Pressure Ulcer. </w:t>
      </w:r>
      <w:r w:rsidRPr="002C0D17">
        <w:rPr>
          <w:rFonts w:cs="Times New Roman"/>
          <w:i/>
          <w:iCs/>
          <w:color w:val="222222"/>
          <w:shd w:val="clear" w:color="auto" w:fill="FFFFFF"/>
          <w:lang w:val="en-GB"/>
        </w:rPr>
        <w:t>International Journal of Caring Sciences</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9</w:t>
      </w:r>
      <w:r>
        <w:rPr>
          <w:rFonts w:cs="Times New Roman"/>
          <w:color w:val="222222"/>
          <w:shd w:val="clear" w:color="auto" w:fill="FFFFFF"/>
          <w:lang w:val="en-GB"/>
        </w:rPr>
        <w:t>(2), p.677.</w:t>
      </w:r>
    </w:p>
    <w:p w14:paraId="5E4E89F1"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Maylor, M. and Torrance, C., 1999. Pressure sore survey Part 2: nurses' knowledge. </w:t>
      </w:r>
      <w:r w:rsidRPr="002C0D17">
        <w:rPr>
          <w:rFonts w:cs="Times New Roman"/>
          <w:i/>
          <w:iCs/>
          <w:color w:val="222222"/>
          <w:shd w:val="clear" w:color="auto" w:fill="FFFFFF"/>
          <w:lang w:val="en-GB"/>
        </w:rPr>
        <w:t>Journal of Wound Care</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8</w:t>
      </w:r>
      <w:r w:rsidRPr="002C0D17">
        <w:rPr>
          <w:rFonts w:cs="Times New Roman"/>
          <w:color w:val="222222"/>
          <w:shd w:val="clear" w:color="auto" w:fill="FFFFFF"/>
          <w:lang w:val="en-GB"/>
        </w:rPr>
        <w:t>(2), pp.49-52.</w:t>
      </w:r>
    </w:p>
    <w:p w14:paraId="060EC383" w14:textId="77777777" w:rsidR="002A043B" w:rsidRPr="00B339B1" w:rsidRDefault="002A043B" w:rsidP="002A043B">
      <w:pPr>
        <w:ind w:left="720" w:hanging="720"/>
        <w:rPr>
          <w:rFonts w:cs="Times New Roman"/>
          <w:color w:val="222222"/>
          <w:shd w:val="clear" w:color="auto" w:fill="FFFFFF"/>
        </w:rPr>
      </w:pPr>
      <w:r w:rsidRPr="00891D0A">
        <w:rPr>
          <w:rFonts w:cs="Times New Roman"/>
          <w:color w:val="222222"/>
          <w:shd w:val="clear" w:color="auto" w:fill="FFFFFF"/>
        </w:rPr>
        <w:t>Mohamed, S.A. and Weheida, S.M., 2014. Effects of implementing educational program about pressure ulcer control on nurses' knowledge and safety of immobilized patients. </w:t>
      </w:r>
      <w:r w:rsidRPr="00891D0A">
        <w:rPr>
          <w:rFonts w:cs="Times New Roman"/>
          <w:i/>
          <w:iCs/>
          <w:color w:val="222222"/>
          <w:shd w:val="clear" w:color="auto" w:fill="FFFFFF"/>
        </w:rPr>
        <w:t>Journal of Nursing Education and Practice</w:t>
      </w:r>
      <w:r w:rsidRPr="00891D0A">
        <w:rPr>
          <w:rFonts w:cs="Times New Roman"/>
          <w:color w:val="222222"/>
          <w:shd w:val="clear" w:color="auto" w:fill="FFFFFF"/>
        </w:rPr>
        <w:t>, </w:t>
      </w:r>
      <w:r w:rsidRPr="00891D0A">
        <w:rPr>
          <w:rFonts w:cs="Times New Roman"/>
          <w:i/>
          <w:iCs/>
          <w:color w:val="222222"/>
          <w:shd w:val="clear" w:color="auto" w:fill="FFFFFF"/>
        </w:rPr>
        <w:t>5</w:t>
      </w:r>
      <w:r w:rsidRPr="00891D0A">
        <w:rPr>
          <w:rFonts w:cs="Times New Roman"/>
          <w:color w:val="222222"/>
          <w:shd w:val="clear" w:color="auto" w:fill="FFFFFF"/>
        </w:rPr>
        <w:t>(3), p.12.</w:t>
      </w:r>
      <w:r>
        <w:rPr>
          <w:rFonts w:cs="Times New Roman"/>
          <w:color w:val="222222"/>
          <w:shd w:val="clear" w:color="auto" w:fill="FFFFFF"/>
        </w:rPr>
        <w:t xml:space="preserve"> (</w:t>
      </w:r>
      <w:r w:rsidRPr="00891D0A">
        <w:rPr>
          <w:rFonts w:cs="Times New Roman"/>
          <w:color w:val="222222"/>
          <w:shd w:val="clear" w:color="auto" w:fill="FFFFFF"/>
        </w:rPr>
        <w:t>Mohamed</w:t>
      </w:r>
      <w:r>
        <w:rPr>
          <w:rFonts w:cs="Times New Roman"/>
          <w:color w:val="222222"/>
          <w:shd w:val="clear" w:color="auto" w:fill="FFFFFF"/>
        </w:rPr>
        <w:t xml:space="preserve"> et al., 2014, p. 12)</w:t>
      </w:r>
    </w:p>
    <w:p w14:paraId="7F6F2DB6" w14:textId="77777777" w:rsidR="002A043B" w:rsidRPr="002C0D17" w:rsidRDefault="002A043B" w:rsidP="002A043B">
      <w:pPr>
        <w:ind w:left="720" w:hanging="720"/>
        <w:rPr>
          <w:rFonts w:cs="Times New Roman"/>
          <w:shd w:val="clear" w:color="auto" w:fill="FFFFFF"/>
          <w:lang w:val="en-GB"/>
        </w:rPr>
      </w:pPr>
      <w:r w:rsidRPr="002C0D17">
        <w:rPr>
          <w:rFonts w:cs="Times New Roman"/>
          <w:shd w:val="clear" w:color="auto" w:fill="FFFFFF"/>
          <w:lang w:val="en-GB"/>
        </w:rPr>
        <w:t>Moore, Z. and Price, P., 2004. Nurses’ attitudes, behaviours and perceived barriers towards pressure ulcer prevention. </w:t>
      </w:r>
      <w:r w:rsidRPr="002C0D17">
        <w:rPr>
          <w:rFonts w:cs="Times New Roman"/>
          <w:i/>
          <w:iCs/>
          <w:shd w:val="clear" w:color="auto" w:fill="FFFFFF"/>
          <w:lang w:val="en-GB"/>
        </w:rPr>
        <w:t>Journal of clinical nursing</w:t>
      </w:r>
      <w:r w:rsidRPr="002C0D17">
        <w:rPr>
          <w:rFonts w:cs="Times New Roman"/>
          <w:shd w:val="clear" w:color="auto" w:fill="FFFFFF"/>
          <w:lang w:val="en-GB"/>
        </w:rPr>
        <w:t>, </w:t>
      </w:r>
      <w:r w:rsidRPr="002C0D17">
        <w:rPr>
          <w:rFonts w:cs="Times New Roman"/>
          <w:i/>
          <w:iCs/>
          <w:shd w:val="clear" w:color="auto" w:fill="FFFFFF"/>
          <w:lang w:val="en-GB"/>
        </w:rPr>
        <w:t>13</w:t>
      </w:r>
      <w:r w:rsidRPr="002C0D17">
        <w:rPr>
          <w:rFonts w:cs="Times New Roman"/>
          <w:shd w:val="clear" w:color="auto" w:fill="FFFFFF"/>
          <w:lang w:val="en-GB"/>
        </w:rPr>
        <w:t>(8), pp.942-951</w:t>
      </w:r>
    </w:p>
    <w:p w14:paraId="67399700" w14:textId="77777777" w:rsidR="002A043B" w:rsidRDefault="002A043B" w:rsidP="002A043B">
      <w:pPr>
        <w:ind w:left="720" w:hanging="720"/>
        <w:rPr>
          <w:shd w:val="clear" w:color="auto" w:fill="FFFFFF"/>
        </w:rPr>
      </w:pPr>
      <w:r>
        <w:rPr>
          <w:shd w:val="clear" w:color="auto" w:fill="FFFFFF"/>
        </w:rPr>
        <w:t>Qaddumi, J. and Khawaldeh, A., 2014. Pressure ulcer prevention knowledge among Jordanian nurses: a cross-sectional study. </w:t>
      </w:r>
      <w:r>
        <w:rPr>
          <w:i/>
          <w:iCs/>
          <w:shd w:val="clear" w:color="auto" w:fill="FFFFFF"/>
        </w:rPr>
        <w:t>BMC nursing</w:t>
      </w:r>
      <w:r>
        <w:rPr>
          <w:shd w:val="clear" w:color="auto" w:fill="FFFFFF"/>
        </w:rPr>
        <w:t>, </w:t>
      </w:r>
      <w:r>
        <w:rPr>
          <w:i/>
          <w:iCs/>
          <w:shd w:val="clear" w:color="auto" w:fill="FFFFFF"/>
        </w:rPr>
        <w:t>13</w:t>
      </w:r>
      <w:r>
        <w:rPr>
          <w:shd w:val="clear" w:color="auto" w:fill="FFFFFF"/>
        </w:rPr>
        <w:t xml:space="preserve">(1), p.6. </w:t>
      </w:r>
    </w:p>
    <w:p w14:paraId="2762CCD1"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Sendelbach, S., Zink, M. and Peterson, J., 2011. Decreasing pressure ulcers across a healthcare system: moving beneath the tip of the iceberg. </w:t>
      </w:r>
      <w:r w:rsidRPr="002C0D17">
        <w:rPr>
          <w:rFonts w:cs="Times New Roman"/>
          <w:i/>
          <w:iCs/>
          <w:color w:val="222222"/>
          <w:shd w:val="clear" w:color="auto" w:fill="FFFFFF"/>
          <w:lang w:val="en-GB"/>
        </w:rPr>
        <w:t>Journal of Nursing Administration</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41</w:t>
      </w:r>
      <w:r>
        <w:rPr>
          <w:rFonts w:cs="Times New Roman"/>
          <w:color w:val="222222"/>
          <w:shd w:val="clear" w:color="auto" w:fill="FFFFFF"/>
          <w:lang w:val="en-GB"/>
        </w:rPr>
        <w:t>(2), pp.84-89.</w:t>
      </w:r>
    </w:p>
    <w:p w14:paraId="14584465" w14:textId="77777777" w:rsidR="002A043B" w:rsidRPr="002C0D17"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t>Smith, D. and Waugh, S., 2009. Research study: an assessment of registered nurses' knowledge of pressure ulcers prevention and treatment. </w:t>
      </w:r>
      <w:r w:rsidRPr="002C0D17">
        <w:rPr>
          <w:rFonts w:cs="Times New Roman"/>
          <w:i/>
          <w:iCs/>
          <w:color w:val="222222"/>
          <w:shd w:val="clear" w:color="auto" w:fill="FFFFFF"/>
          <w:lang w:val="en-GB"/>
        </w:rPr>
        <w:t>Kansas Nurse</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84</w:t>
      </w:r>
      <w:r w:rsidRPr="002C0D17">
        <w:rPr>
          <w:rFonts w:cs="Times New Roman"/>
          <w:color w:val="222222"/>
          <w:shd w:val="clear" w:color="auto" w:fill="FFFFFF"/>
          <w:lang w:val="en-GB"/>
        </w:rPr>
        <w:t>(1), p.3.</w:t>
      </w:r>
    </w:p>
    <w:p w14:paraId="1944A1B3" w14:textId="77777777" w:rsidR="002A043B" w:rsidRPr="002C0D17" w:rsidRDefault="002A043B" w:rsidP="002A043B">
      <w:pPr>
        <w:ind w:left="720" w:hanging="720"/>
        <w:rPr>
          <w:rFonts w:cs="Times New Roman"/>
          <w:shd w:val="clear" w:color="auto" w:fill="FFFFFF"/>
          <w:lang w:val="en-GB"/>
        </w:rPr>
      </w:pPr>
      <w:r w:rsidRPr="002C0D17">
        <w:rPr>
          <w:rFonts w:cs="Times New Roman"/>
          <w:shd w:val="clear" w:color="auto" w:fill="FFFFFF"/>
          <w:lang w:val="en-GB"/>
        </w:rPr>
        <w:t>Swafford, K., Culpepper, R. and Dunn, C., 2016. Use of a comprehensive program to reduce the incidence of hospital-acquired pressure ulcers in an intensive care unit. </w:t>
      </w:r>
      <w:r w:rsidRPr="002C0D17">
        <w:rPr>
          <w:rFonts w:cs="Times New Roman"/>
          <w:i/>
          <w:iCs/>
          <w:shd w:val="clear" w:color="auto" w:fill="FFFFFF"/>
          <w:lang w:val="en-GB"/>
        </w:rPr>
        <w:t>American Journal of Critical Care</w:t>
      </w:r>
      <w:r w:rsidRPr="002C0D17">
        <w:rPr>
          <w:rFonts w:cs="Times New Roman"/>
          <w:shd w:val="clear" w:color="auto" w:fill="FFFFFF"/>
          <w:lang w:val="en-GB"/>
        </w:rPr>
        <w:t>, </w:t>
      </w:r>
      <w:r w:rsidRPr="002C0D17">
        <w:rPr>
          <w:rFonts w:cs="Times New Roman"/>
          <w:i/>
          <w:iCs/>
          <w:shd w:val="clear" w:color="auto" w:fill="FFFFFF"/>
          <w:lang w:val="en-GB"/>
        </w:rPr>
        <w:t>25</w:t>
      </w:r>
      <w:r w:rsidRPr="002C0D17">
        <w:rPr>
          <w:rFonts w:cs="Times New Roman"/>
          <w:shd w:val="clear" w:color="auto" w:fill="FFFFFF"/>
          <w:lang w:val="en-GB"/>
        </w:rPr>
        <w:t xml:space="preserve">(2), pp.152-155. </w:t>
      </w:r>
    </w:p>
    <w:p w14:paraId="78FBFCAE" w14:textId="77777777" w:rsidR="002A043B" w:rsidRPr="008342B1" w:rsidRDefault="002A043B" w:rsidP="002A043B">
      <w:pPr>
        <w:ind w:left="720" w:hanging="720"/>
        <w:rPr>
          <w:rFonts w:cs="Times New Roman"/>
          <w:color w:val="222222"/>
          <w:shd w:val="clear" w:color="auto" w:fill="FFFFFF"/>
          <w:lang w:val="en-GB"/>
        </w:rPr>
      </w:pPr>
      <w:r w:rsidRPr="002C0D17">
        <w:rPr>
          <w:rFonts w:cs="Times New Roman"/>
          <w:color w:val="222222"/>
          <w:shd w:val="clear" w:color="auto" w:fill="FFFFFF"/>
          <w:lang w:val="en-GB"/>
        </w:rPr>
        <w:lastRenderedPageBreak/>
        <w:t>Zulkowski, K., Ayello, E.A. and Wexler, S., 2007. Certification and education: do they affect press</w:t>
      </w:r>
      <w:r>
        <w:rPr>
          <w:rFonts w:cs="Times New Roman"/>
          <w:color w:val="222222"/>
          <w:shd w:val="clear" w:color="auto" w:fill="FFFFFF"/>
          <w:lang w:val="en-GB"/>
        </w:rPr>
        <w:t>ure ulcer knowledge in nursing.</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Advances in skin &amp; wound care</w:t>
      </w:r>
      <w:r w:rsidRPr="002C0D17">
        <w:rPr>
          <w:rFonts w:cs="Times New Roman"/>
          <w:color w:val="222222"/>
          <w:shd w:val="clear" w:color="auto" w:fill="FFFFFF"/>
          <w:lang w:val="en-GB"/>
        </w:rPr>
        <w:t>, </w:t>
      </w:r>
      <w:r w:rsidRPr="002C0D17">
        <w:rPr>
          <w:rFonts w:cs="Times New Roman"/>
          <w:i/>
          <w:iCs/>
          <w:color w:val="222222"/>
          <w:shd w:val="clear" w:color="auto" w:fill="FFFFFF"/>
          <w:lang w:val="en-GB"/>
        </w:rPr>
        <w:t>20</w:t>
      </w:r>
      <w:r>
        <w:rPr>
          <w:rFonts w:cs="Times New Roman"/>
          <w:color w:val="222222"/>
          <w:shd w:val="clear" w:color="auto" w:fill="FFFFFF"/>
          <w:lang w:val="en-GB"/>
        </w:rPr>
        <w:t>(1), pp.34-38.</w:t>
      </w:r>
    </w:p>
    <w:p w14:paraId="7619A94D" w14:textId="77777777" w:rsidR="00B62A71" w:rsidRPr="007E2FA6" w:rsidRDefault="00B62A71" w:rsidP="00221E04">
      <w:pPr>
        <w:pStyle w:val="NormalWeb"/>
        <w:rPr>
          <w:lang w:val="en-GB"/>
        </w:rPr>
      </w:pPr>
    </w:p>
    <w:sectPr w:rsidR="00B62A71" w:rsidRPr="007E2FA6" w:rsidSect="00EC6C9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pitch w:val="default"/>
  </w:font>
  <w:font w:name="TimesNewRomanP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E30FF"/>
    <w:multiLevelType w:val="multilevel"/>
    <w:tmpl w:val="BE28B80C"/>
    <w:lvl w:ilvl="0">
      <w:start w:val="1"/>
      <w:numFmt w:val="decimal"/>
      <w:pStyle w:val="Heading1"/>
      <w:lvlText w:val="%1."/>
      <w:lvlJc w:val="left"/>
      <w:pPr>
        <w:ind w:left="360" w:hanging="360"/>
      </w:pPr>
    </w:lvl>
    <w:lvl w:ilvl="1">
      <w:start w:val="2"/>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55"/>
    <w:rsid w:val="00221E04"/>
    <w:rsid w:val="002A043B"/>
    <w:rsid w:val="00495C5E"/>
    <w:rsid w:val="00633955"/>
    <w:rsid w:val="00784563"/>
    <w:rsid w:val="007E2FA6"/>
    <w:rsid w:val="00B62A71"/>
    <w:rsid w:val="00BB77A7"/>
    <w:rsid w:val="00E620AC"/>
    <w:rsid w:val="00E90BB0"/>
    <w:rsid w:val="00EC6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8E607A"/>
  <w14:defaultImageDpi w14:val="32767"/>
  <w15:chartTrackingRefBased/>
  <w15:docId w15:val="{21403588-664C-8749-A758-E5BA6B0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43B"/>
    <w:pPr>
      <w:keepNext/>
      <w:keepLines/>
      <w:numPr>
        <w:numId w:val="1"/>
      </w:numPr>
      <w:spacing w:before="240" w:line="480" w:lineRule="auto"/>
      <w:jc w:val="both"/>
      <w:outlineLvl w:val="0"/>
    </w:pPr>
    <w:rPr>
      <w:rFonts w:ascii="Times New Roman" w:eastAsiaTheme="majorEastAsia" w:hAnsi="Times New Roman" w:cstheme="majorBidi"/>
      <w:b/>
      <w:i/>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3955"/>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21E0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1E04"/>
    <w:rPr>
      <w:rFonts w:ascii="Times New Roman" w:hAnsi="Times New Roman" w:cs="Times New Roman"/>
      <w:sz w:val="18"/>
      <w:szCs w:val="18"/>
    </w:rPr>
  </w:style>
  <w:style w:type="character" w:customStyle="1" w:styleId="Heading1Char">
    <w:name w:val="Heading 1 Char"/>
    <w:basedOn w:val="DefaultParagraphFont"/>
    <w:link w:val="Heading1"/>
    <w:uiPriority w:val="9"/>
    <w:rsid w:val="002A043B"/>
    <w:rPr>
      <w:rFonts w:ascii="Times New Roman" w:eastAsiaTheme="majorEastAsia" w:hAnsi="Times New Roman" w:cstheme="majorBidi"/>
      <w:b/>
      <w:i/>
      <w:color w:val="000000" w:themeColor="text1"/>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Bin Kanan</dc:creator>
  <cp:keywords/>
  <dc:description/>
  <cp:lastModifiedBy>Abdulaziz Bin Kanan</cp:lastModifiedBy>
  <cp:revision>2</cp:revision>
  <dcterms:created xsi:type="dcterms:W3CDTF">2019-07-03T11:42:00Z</dcterms:created>
  <dcterms:modified xsi:type="dcterms:W3CDTF">2019-07-03T11:42:00Z</dcterms:modified>
</cp:coreProperties>
</file>