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982" w:rsidRPr="000D6982" w:rsidRDefault="00C63249" w:rsidP="000D6982">
      <w:pPr>
        <w:pStyle w:val="Header"/>
        <w:spacing w:line="276" w:lineRule="auto"/>
        <w:jc w:val="center"/>
        <w:rPr>
          <w:rFonts w:asciiTheme="majorHAnsi" w:hAnsiTheme="majorHAnsi"/>
        </w:rPr>
      </w:pPr>
      <w:r>
        <w:rPr>
          <w:rFonts w:asciiTheme="majorHAnsi" w:hAnsiTheme="majorHAnsi"/>
        </w:rPr>
        <w:t>7</w:t>
      </w:r>
      <w:r w:rsidR="000D6982" w:rsidRPr="000D6982">
        <w:rPr>
          <w:rFonts w:asciiTheme="majorHAnsi" w:hAnsiTheme="majorHAnsi"/>
          <w:vertAlign w:val="superscript"/>
        </w:rPr>
        <w:t xml:space="preserve">th </w:t>
      </w:r>
      <w:r w:rsidR="000D6982" w:rsidRPr="000D6982">
        <w:rPr>
          <w:rFonts w:asciiTheme="majorHAnsi" w:hAnsiTheme="majorHAnsi"/>
        </w:rPr>
        <w:t>International Conference on Advances in Skin, Wound Care and Tissue Science</w:t>
      </w:r>
    </w:p>
    <w:p w:rsidR="000D6982" w:rsidRPr="000D6982" w:rsidRDefault="00C63249" w:rsidP="000D6982">
      <w:pPr>
        <w:pStyle w:val="Header"/>
        <w:spacing w:line="276" w:lineRule="auto"/>
        <w:jc w:val="center"/>
        <w:rPr>
          <w:rFonts w:asciiTheme="majorHAnsi" w:hAnsiTheme="majorHAnsi"/>
        </w:rPr>
      </w:pPr>
      <w:r>
        <w:rPr>
          <w:rFonts w:asciiTheme="majorHAnsi" w:hAnsiTheme="majorHAnsi"/>
        </w:rPr>
        <w:t>September 25-26, 2019</w:t>
      </w:r>
      <w:r w:rsidR="000D6982" w:rsidRPr="000D6982">
        <w:rPr>
          <w:rFonts w:asciiTheme="majorHAnsi" w:hAnsiTheme="majorHAnsi"/>
        </w:rPr>
        <w:t xml:space="preserve"> </w:t>
      </w:r>
      <w:r w:rsidRPr="00C63249">
        <w:rPr>
          <w:rFonts w:asciiTheme="majorHAnsi" w:hAnsiTheme="majorHAnsi"/>
        </w:rPr>
        <w:t>Copenhagen</w:t>
      </w:r>
      <w:r w:rsidR="000D6982" w:rsidRPr="000D6982">
        <w:rPr>
          <w:rFonts w:asciiTheme="majorHAnsi" w:hAnsiTheme="majorHAnsi"/>
        </w:rPr>
        <w:t xml:space="preserve">, </w:t>
      </w:r>
      <w:r>
        <w:rPr>
          <w:rFonts w:asciiTheme="majorHAnsi" w:hAnsiTheme="majorHAnsi"/>
        </w:rPr>
        <w:t>Denmark</w:t>
      </w:r>
    </w:p>
    <w:p w:rsidR="00AE3E37" w:rsidRPr="00041A28" w:rsidRDefault="00F337F2" w:rsidP="00494130">
      <w:pPr>
        <w:pStyle w:val="Heading1"/>
        <w:spacing w:before="170"/>
        <w:ind w:left="0"/>
        <w:rPr>
          <w:rFonts w:asciiTheme="majorHAnsi" w:hAnsiTheme="majorHAnsi"/>
          <w:sz w:val="28"/>
          <w:szCs w:val="28"/>
        </w:rPr>
      </w:pPr>
      <w:r>
        <w:rPr>
          <w:rFonts w:asciiTheme="majorHAnsi" w:hAnsiTheme="majorHAnsi"/>
          <w:color w:val="337AB7"/>
          <w:sz w:val="28"/>
          <w:szCs w:val="28"/>
        </w:rPr>
        <w:t xml:space="preserve">Analysis of drug release kinetics from </w:t>
      </w:r>
      <w:proofErr w:type="spellStart"/>
      <w:r>
        <w:rPr>
          <w:rFonts w:asciiTheme="majorHAnsi" w:hAnsiTheme="majorHAnsi"/>
          <w:color w:val="337AB7"/>
          <w:sz w:val="28"/>
          <w:szCs w:val="28"/>
        </w:rPr>
        <w:t>electrospun</w:t>
      </w:r>
      <w:proofErr w:type="spellEnd"/>
      <w:r>
        <w:rPr>
          <w:rFonts w:asciiTheme="majorHAnsi" w:hAnsiTheme="majorHAnsi"/>
          <w:color w:val="337AB7"/>
          <w:sz w:val="28"/>
          <w:szCs w:val="28"/>
        </w:rPr>
        <w:t>-based nanofibrous wound dressing</w:t>
      </w:r>
      <w:r w:rsidR="007B546D">
        <w:rPr>
          <w:rFonts w:asciiTheme="majorHAnsi" w:hAnsiTheme="majorHAnsi"/>
          <w:color w:val="337AB7"/>
          <w:sz w:val="28"/>
          <w:szCs w:val="28"/>
        </w:rPr>
        <w:t>s</w:t>
      </w:r>
      <w:r>
        <w:rPr>
          <w:rFonts w:asciiTheme="majorHAnsi" w:hAnsiTheme="majorHAnsi"/>
          <w:color w:val="337AB7"/>
          <w:sz w:val="28"/>
          <w:szCs w:val="28"/>
        </w:rPr>
        <w:t>.</w:t>
      </w:r>
    </w:p>
    <w:p w:rsidR="000D6982" w:rsidRPr="000D6982" w:rsidRDefault="00C63249" w:rsidP="000D6982">
      <w:pPr>
        <w:rPr>
          <w:rFonts w:asciiTheme="majorHAnsi" w:hAnsiTheme="majorHAnsi"/>
          <w:vertAlign w:val="superscript"/>
        </w:rPr>
      </w:pPr>
      <w:proofErr w:type="spellStart"/>
      <w:r>
        <w:rPr>
          <w:rFonts w:asciiTheme="majorHAnsi" w:hAnsiTheme="majorHAnsi"/>
          <w:u w:val="single"/>
          <w:lang w:val="cs-CZ"/>
        </w:rPr>
        <w:t>Nikifor</w:t>
      </w:r>
      <w:proofErr w:type="spellEnd"/>
      <w:r>
        <w:rPr>
          <w:rFonts w:asciiTheme="majorHAnsi" w:hAnsiTheme="majorHAnsi"/>
          <w:u w:val="single"/>
          <w:lang w:val="cs-CZ"/>
        </w:rPr>
        <w:t xml:space="preserve"> </w:t>
      </w:r>
      <w:proofErr w:type="spellStart"/>
      <w:r>
        <w:rPr>
          <w:rFonts w:asciiTheme="majorHAnsi" w:hAnsiTheme="majorHAnsi"/>
          <w:u w:val="single"/>
          <w:lang w:val="cs-CZ"/>
        </w:rPr>
        <w:t>Asatiani</w:t>
      </w:r>
      <w:proofErr w:type="spellEnd"/>
      <w:r w:rsidR="000D6982" w:rsidRPr="000D6982">
        <w:rPr>
          <w:rFonts w:asciiTheme="majorHAnsi" w:hAnsiTheme="majorHAnsi"/>
          <w:u w:val="single"/>
          <w:vertAlign w:val="superscript"/>
        </w:rPr>
        <w:t>a</w:t>
      </w:r>
      <w:r w:rsidR="000D6982" w:rsidRPr="000D6982">
        <w:rPr>
          <w:rFonts w:asciiTheme="majorHAnsi" w:hAnsiTheme="majorHAnsi"/>
        </w:rPr>
        <w:t xml:space="preserve">*, </w:t>
      </w:r>
      <w:r>
        <w:rPr>
          <w:rFonts w:asciiTheme="majorHAnsi" w:hAnsiTheme="majorHAnsi"/>
        </w:rPr>
        <w:t>Petr Mike</w:t>
      </w:r>
      <w:r w:rsidR="00FE2BDB">
        <w:rPr>
          <w:rFonts w:asciiTheme="majorHAnsi" w:hAnsiTheme="majorHAnsi"/>
          <w:lang w:val="ka-GE"/>
        </w:rPr>
        <w:t>š</w:t>
      </w:r>
      <w:r>
        <w:rPr>
          <w:rFonts w:asciiTheme="majorHAnsi" w:hAnsiTheme="majorHAnsi"/>
          <w:vertAlign w:val="superscript"/>
        </w:rPr>
        <w:t>a</w:t>
      </w:r>
    </w:p>
    <w:p w:rsidR="000D6982" w:rsidRPr="000D6982" w:rsidRDefault="000D6982" w:rsidP="000D6982">
      <w:pPr>
        <w:jc w:val="center"/>
        <w:rPr>
          <w:rFonts w:asciiTheme="majorHAnsi" w:hAnsiTheme="majorHAnsi"/>
        </w:rPr>
      </w:pPr>
    </w:p>
    <w:p w:rsidR="000D6982" w:rsidRPr="000D6982" w:rsidRDefault="000D6982" w:rsidP="000D6982">
      <w:pPr>
        <w:rPr>
          <w:rFonts w:asciiTheme="majorHAnsi" w:hAnsiTheme="majorHAnsi"/>
          <w:i/>
        </w:rPr>
      </w:pPr>
      <w:r w:rsidRPr="000D6982">
        <w:rPr>
          <w:rFonts w:asciiTheme="majorHAnsi" w:hAnsiTheme="majorHAnsi"/>
          <w:i/>
          <w:vertAlign w:val="superscript"/>
        </w:rPr>
        <w:t>a</w:t>
      </w:r>
      <w:r w:rsidR="000427D7" w:rsidRPr="000427D7">
        <w:rPr>
          <w:rFonts w:asciiTheme="majorHAnsi" w:hAnsiTheme="majorHAnsi"/>
          <w:i/>
        </w:rPr>
        <w:t xml:space="preserve"> </w:t>
      </w:r>
      <w:r w:rsidR="000427D7">
        <w:rPr>
          <w:rFonts w:asciiTheme="majorHAnsi" w:hAnsiTheme="majorHAnsi"/>
          <w:i/>
        </w:rPr>
        <w:t>Department of Chemistry</w:t>
      </w:r>
      <w:r w:rsidR="000427D7">
        <w:rPr>
          <w:rFonts w:asciiTheme="majorHAnsi" w:hAnsiTheme="majorHAnsi"/>
          <w:i/>
        </w:rPr>
        <w:t xml:space="preserve">, </w:t>
      </w:r>
      <w:r w:rsidR="00C63249" w:rsidRPr="00C63249">
        <w:rPr>
          <w:rFonts w:asciiTheme="majorHAnsi" w:hAnsiTheme="majorHAnsi"/>
          <w:i/>
        </w:rPr>
        <w:t>Faculty of Science, Humanities and Education</w:t>
      </w:r>
      <w:r w:rsidR="00C63249">
        <w:rPr>
          <w:rFonts w:asciiTheme="majorHAnsi" w:hAnsiTheme="majorHAnsi"/>
          <w:i/>
        </w:rPr>
        <w:t xml:space="preserve">, Technical University of Liberec, </w:t>
      </w:r>
      <w:proofErr w:type="spellStart"/>
      <w:r w:rsidR="00C63249">
        <w:rPr>
          <w:rFonts w:asciiTheme="majorHAnsi" w:hAnsiTheme="majorHAnsi"/>
          <w:i/>
        </w:rPr>
        <w:t>Studentská</w:t>
      </w:r>
      <w:proofErr w:type="spellEnd"/>
      <w:r w:rsidR="00C63249">
        <w:rPr>
          <w:rFonts w:asciiTheme="majorHAnsi" w:hAnsiTheme="majorHAnsi"/>
          <w:i/>
        </w:rPr>
        <w:t xml:space="preserve"> 1402/2</w:t>
      </w:r>
      <w:r w:rsidRPr="000D6982">
        <w:rPr>
          <w:rFonts w:asciiTheme="majorHAnsi" w:hAnsiTheme="majorHAnsi"/>
          <w:i/>
        </w:rPr>
        <w:t xml:space="preserve">, </w:t>
      </w:r>
      <w:r w:rsidR="00C63249">
        <w:rPr>
          <w:rFonts w:asciiTheme="majorHAnsi" w:hAnsiTheme="majorHAnsi"/>
          <w:i/>
        </w:rPr>
        <w:t>Liberec</w:t>
      </w:r>
      <w:r w:rsidRPr="000D6982">
        <w:rPr>
          <w:rFonts w:asciiTheme="majorHAnsi" w:hAnsiTheme="majorHAnsi"/>
          <w:i/>
        </w:rPr>
        <w:t xml:space="preserve">, </w:t>
      </w:r>
      <w:r w:rsidR="00C63249">
        <w:rPr>
          <w:rFonts w:asciiTheme="majorHAnsi" w:hAnsiTheme="majorHAnsi"/>
          <w:i/>
        </w:rPr>
        <w:t>Czech Republic</w:t>
      </w:r>
      <w:r w:rsidRPr="000D6982">
        <w:rPr>
          <w:rFonts w:asciiTheme="majorHAnsi" w:hAnsiTheme="majorHAnsi"/>
          <w:i/>
        </w:rPr>
        <w:t xml:space="preserve">, </w:t>
      </w:r>
      <w:r w:rsidR="00C63249">
        <w:rPr>
          <w:rFonts w:asciiTheme="majorHAnsi" w:hAnsiTheme="majorHAnsi"/>
          <w:i/>
        </w:rPr>
        <w:t>46117</w:t>
      </w:r>
    </w:p>
    <w:p w:rsidR="00AE3E37" w:rsidRPr="000D6982" w:rsidRDefault="00AE3E37">
      <w:pPr>
        <w:pStyle w:val="BodyText"/>
        <w:rPr>
          <w:rFonts w:asciiTheme="majorHAnsi" w:hAnsiTheme="majorHAnsi"/>
          <w:sz w:val="20"/>
        </w:rPr>
      </w:pPr>
    </w:p>
    <w:p w:rsidR="00AE3E37" w:rsidRPr="000D6982" w:rsidRDefault="00AE3E37">
      <w:pPr>
        <w:pStyle w:val="BodyText"/>
        <w:spacing w:before="3"/>
        <w:rPr>
          <w:rFonts w:asciiTheme="majorHAnsi" w:hAnsiTheme="majorHAnsi"/>
          <w:sz w:val="21"/>
        </w:rPr>
      </w:pPr>
    </w:p>
    <w:p w:rsidR="00AE3E37" w:rsidRPr="000D6982" w:rsidRDefault="00AE3E37">
      <w:pPr>
        <w:rPr>
          <w:rFonts w:asciiTheme="majorHAnsi" w:hAnsiTheme="majorHAnsi"/>
          <w:sz w:val="21"/>
        </w:rPr>
        <w:sectPr w:rsidR="00AE3E37" w:rsidRPr="000D6982">
          <w:headerReference w:type="default" r:id="rId7"/>
          <w:footerReference w:type="default" r:id="rId8"/>
          <w:type w:val="continuous"/>
          <w:pgSz w:w="11910" w:h="16840"/>
          <w:pgMar w:top="1740" w:right="600" w:bottom="840" w:left="620" w:header="541" w:footer="642" w:gutter="0"/>
          <w:cols w:space="720"/>
        </w:sectPr>
      </w:pPr>
    </w:p>
    <w:p w:rsidR="00AE3E37" w:rsidRPr="000D6982" w:rsidRDefault="00A9710C">
      <w:pPr>
        <w:pStyle w:val="Heading3"/>
        <w:spacing w:before="147"/>
        <w:jc w:val="both"/>
        <w:rPr>
          <w:rFonts w:asciiTheme="majorHAnsi" w:hAnsiTheme="majorHAnsi"/>
        </w:rPr>
      </w:pPr>
      <w:r w:rsidRPr="000D6982">
        <w:rPr>
          <w:rFonts w:asciiTheme="majorHAnsi" w:hAnsiTheme="majorHAnsi"/>
          <w:color w:val="BF5A14"/>
        </w:rPr>
        <w:t>Abstract</w:t>
      </w:r>
      <w:r w:rsidR="00404E5B" w:rsidRPr="000D6982">
        <w:rPr>
          <w:rFonts w:asciiTheme="majorHAnsi" w:hAnsiTheme="majorHAnsi"/>
          <w:color w:val="BF5A14"/>
        </w:rPr>
        <w:t xml:space="preserve"> </w:t>
      </w:r>
    </w:p>
    <w:p w:rsidR="00AE3E37" w:rsidRPr="00387931" w:rsidRDefault="00F234CD" w:rsidP="00387931">
      <w:pPr>
        <w:pStyle w:val="BodyText"/>
        <w:spacing w:before="90" w:line="280" w:lineRule="auto"/>
        <w:ind w:left="100"/>
        <w:jc w:val="both"/>
        <w:rPr>
          <w:rFonts w:asciiTheme="majorHAnsi" w:hAnsiTheme="majorHAnsi"/>
          <w:color w:val="000000" w:themeColor="text1"/>
        </w:rPr>
      </w:pPr>
      <w:r w:rsidRPr="00387931">
        <w:rPr>
          <w:rFonts w:asciiTheme="majorHAnsi" w:hAnsiTheme="majorHAnsi"/>
          <w:color w:val="000000" w:themeColor="text1"/>
        </w:rPr>
        <w:t xml:space="preserve">Wound healing often requires use of antibiotics, which might produce negative side effects like trouble sleeping, headache, diarrheas, etc. Thus, there is heightened interest of local delivery of a drug to a wound. </w:t>
      </w:r>
      <w:r w:rsidR="00082CE1" w:rsidRPr="00082CE1">
        <w:rPr>
          <w:rFonts w:asciiTheme="majorHAnsi" w:hAnsiTheme="majorHAnsi"/>
          <w:color w:val="000000" w:themeColor="text1"/>
        </w:rPr>
        <w:t>Accordingly</w:t>
      </w:r>
      <w:r w:rsidR="00082CE1">
        <w:rPr>
          <w:rFonts w:asciiTheme="majorHAnsi" w:hAnsiTheme="majorHAnsi"/>
          <w:color w:val="000000" w:themeColor="text1"/>
          <w:lang w:val="cs-CZ"/>
        </w:rPr>
        <w:t xml:space="preserve">, </w:t>
      </w:r>
      <w:r w:rsidR="00082CE1">
        <w:rPr>
          <w:rFonts w:asciiTheme="majorHAnsi" w:hAnsiTheme="majorHAnsi"/>
          <w:color w:val="000000" w:themeColor="text1"/>
        </w:rPr>
        <w:t>e</w:t>
      </w:r>
      <w:r w:rsidRPr="00387931">
        <w:rPr>
          <w:rFonts w:asciiTheme="majorHAnsi" w:hAnsiTheme="majorHAnsi"/>
          <w:color w:val="000000" w:themeColor="text1"/>
        </w:rPr>
        <w:t>lectrospinning is a versatile method to produce biologically functional nanofibrous wound dressings for further applications in tissue engineering as local drug delivery systems. However, kinetics of drug release from such systems are still poorly understood.</w:t>
      </w:r>
      <w:r w:rsidR="00387931">
        <w:rPr>
          <w:rFonts w:asciiTheme="majorHAnsi" w:hAnsiTheme="majorHAnsi"/>
          <w:color w:val="000000" w:themeColor="text1"/>
        </w:rPr>
        <w:t xml:space="preserve"> </w:t>
      </w:r>
      <w:r w:rsidRPr="00387931">
        <w:rPr>
          <w:rFonts w:asciiTheme="majorHAnsi" w:hAnsiTheme="majorHAnsi"/>
          <w:color w:val="000000" w:themeColor="text1"/>
        </w:rPr>
        <w:t>The purpose of this s</w:t>
      </w:r>
      <w:r w:rsidR="00DE1B2B" w:rsidRPr="00387931">
        <w:rPr>
          <w:rFonts w:asciiTheme="majorHAnsi" w:hAnsiTheme="majorHAnsi"/>
          <w:color w:val="000000" w:themeColor="text1"/>
        </w:rPr>
        <w:t>t</w:t>
      </w:r>
      <w:r w:rsidRPr="00387931">
        <w:rPr>
          <w:rFonts w:asciiTheme="majorHAnsi" w:hAnsiTheme="majorHAnsi"/>
          <w:color w:val="000000" w:themeColor="text1"/>
        </w:rPr>
        <w:t xml:space="preserve">udy is to develop nanofibrous wound dressing materials modified with </w:t>
      </w:r>
      <w:r w:rsidR="00082CE1">
        <w:rPr>
          <w:rFonts w:asciiTheme="majorHAnsi" w:hAnsiTheme="majorHAnsi"/>
          <w:color w:val="000000" w:themeColor="text1"/>
        </w:rPr>
        <w:t>incorporation</w:t>
      </w:r>
      <w:r w:rsidRPr="00387931">
        <w:rPr>
          <w:rFonts w:asciiTheme="majorHAnsi" w:hAnsiTheme="majorHAnsi"/>
          <w:color w:val="000000" w:themeColor="text1"/>
        </w:rPr>
        <w:t xml:space="preserve"> of </w:t>
      </w:r>
      <w:r w:rsidR="0020083E">
        <w:rPr>
          <w:rFonts w:asciiTheme="majorHAnsi" w:hAnsiTheme="majorHAnsi"/>
          <w:color w:val="000000" w:themeColor="text1"/>
        </w:rPr>
        <w:t>drugs</w:t>
      </w:r>
      <w:r w:rsidRPr="00387931">
        <w:rPr>
          <w:rFonts w:asciiTheme="majorHAnsi" w:hAnsiTheme="majorHAnsi"/>
          <w:color w:val="000000" w:themeColor="text1"/>
        </w:rPr>
        <w:t>. Moreover, the aim is to investigate drug release kinetics from the obtained</w:t>
      </w:r>
      <w:r w:rsidR="000C7ACA" w:rsidRPr="00387931">
        <w:rPr>
          <w:rFonts w:asciiTheme="majorHAnsi" w:hAnsiTheme="majorHAnsi"/>
          <w:color w:val="000000" w:themeColor="text1"/>
        </w:rPr>
        <w:t xml:space="preserve"> wound dressings considering different drug loadings. </w:t>
      </w:r>
      <w:r w:rsidRPr="00387931">
        <w:rPr>
          <w:rFonts w:asciiTheme="majorHAnsi" w:hAnsiTheme="majorHAnsi"/>
          <w:color w:val="000000" w:themeColor="text1"/>
        </w:rPr>
        <w:t xml:space="preserve"> </w:t>
      </w:r>
      <w:r w:rsidR="00082CE1">
        <w:rPr>
          <w:rFonts w:asciiTheme="majorHAnsi" w:hAnsiTheme="majorHAnsi"/>
          <w:color w:val="000000" w:themeColor="text1"/>
        </w:rPr>
        <w:t xml:space="preserve">Additionally, cell interactions and cytotoxicity of the fabricated mats was investigated. </w:t>
      </w:r>
      <w:r w:rsidRPr="00387931">
        <w:rPr>
          <w:rFonts w:asciiTheme="majorHAnsi" w:hAnsiTheme="majorHAnsi"/>
          <w:color w:val="000000" w:themeColor="text1"/>
        </w:rPr>
        <w:t xml:space="preserve">Finally, an attempt to establish a mathematical model for prediction of release kinetics of examined drug delivery system, proceeding from experimentally obtained data and on the basis of the solution of the diffusion equation, </w:t>
      </w:r>
      <w:r w:rsidR="00082CE1">
        <w:rPr>
          <w:rFonts w:asciiTheme="majorHAnsi" w:hAnsiTheme="majorHAnsi"/>
          <w:color w:val="000000" w:themeColor="text1"/>
        </w:rPr>
        <w:t>has been made</w:t>
      </w:r>
      <w:r w:rsidRPr="00387931">
        <w:rPr>
          <w:rFonts w:asciiTheme="majorHAnsi" w:hAnsiTheme="majorHAnsi"/>
          <w:color w:val="000000" w:themeColor="text1"/>
        </w:rPr>
        <w:t>.</w:t>
      </w:r>
      <w:r w:rsidR="00387931" w:rsidRPr="00387931">
        <w:rPr>
          <w:rFonts w:asciiTheme="majorHAnsi" w:hAnsiTheme="majorHAnsi"/>
          <w:color w:val="000000" w:themeColor="text1"/>
        </w:rPr>
        <w:t xml:space="preserve"> </w:t>
      </w:r>
      <w:r w:rsidR="00C63249" w:rsidRPr="00387931">
        <w:rPr>
          <w:rFonts w:asciiTheme="majorHAnsi" w:hAnsiTheme="majorHAnsi"/>
          <w:color w:val="000000" w:themeColor="text1"/>
        </w:rPr>
        <w:t>The</w:t>
      </w:r>
      <w:r w:rsidR="00082CE1">
        <w:rPr>
          <w:rFonts w:asciiTheme="majorHAnsi" w:hAnsiTheme="majorHAnsi"/>
          <w:color w:val="000000" w:themeColor="text1"/>
        </w:rPr>
        <w:t xml:space="preserve"> fabricated</w:t>
      </w:r>
      <w:r w:rsidR="00C63249" w:rsidRPr="00387931">
        <w:rPr>
          <w:rFonts w:asciiTheme="majorHAnsi" w:hAnsiTheme="majorHAnsi"/>
          <w:color w:val="000000" w:themeColor="text1"/>
        </w:rPr>
        <w:t xml:space="preserve"> nanofibrous mats in this study had biphasic kinetics of drug release. The mat with lower concentration was able to release </w:t>
      </w:r>
      <w:r w:rsidR="00082CE1">
        <w:rPr>
          <w:rFonts w:asciiTheme="majorHAnsi" w:hAnsiTheme="majorHAnsi"/>
          <w:color w:val="000000" w:themeColor="text1"/>
        </w:rPr>
        <w:t xml:space="preserve">the </w:t>
      </w:r>
      <w:r w:rsidR="00C63249" w:rsidRPr="00387931">
        <w:rPr>
          <w:rFonts w:asciiTheme="majorHAnsi" w:hAnsiTheme="majorHAnsi"/>
          <w:color w:val="000000" w:themeColor="text1"/>
        </w:rPr>
        <w:t xml:space="preserve">drug in a sustained manner for at least 7 days. </w:t>
      </w:r>
      <w:r w:rsidR="00082CE1">
        <w:rPr>
          <w:rFonts w:asciiTheme="majorHAnsi" w:hAnsiTheme="majorHAnsi"/>
          <w:color w:val="000000" w:themeColor="text1"/>
        </w:rPr>
        <w:t>Increment</w:t>
      </w:r>
      <w:r w:rsidR="00C63249" w:rsidRPr="00387931">
        <w:rPr>
          <w:rFonts w:asciiTheme="majorHAnsi" w:hAnsiTheme="majorHAnsi"/>
          <w:color w:val="000000" w:themeColor="text1"/>
        </w:rPr>
        <w:t xml:space="preserve"> of the drug loading supported cells proliferation.</w:t>
      </w:r>
      <w:r w:rsidR="00082CE1">
        <w:rPr>
          <w:rFonts w:asciiTheme="majorHAnsi" w:hAnsiTheme="majorHAnsi"/>
          <w:color w:val="000000" w:themeColor="text1"/>
        </w:rPr>
        <w:t xml:space="preserve"> None of tested drug loading were found cytotoxic. The c</w:t>
      </w:r>
      <w:r w:rsidR="00A37F65" w:rsidRPr="00387931">
        <w:rPr>
          <w:rFonts w:asciiTheme="majorHAnsi" w:hAnsiTheme="majorHAnsi"/>
          <w:color w:val="000000" w:themeColor="text1"/>
        </w:rPr>
        <w:t>haracterization of the process of drug release from nanofibers and the development of a mathematical model for the calculation of drug concentration will facilitate the design and preparation of nanofibrous wound dressing</w:t>
      </w:r>
      <w:r w:rsidR="00082CE1">
        <w:rPr>
          <w:rFonts w:asciiTheme="majorHAnsi" w:hAnsiTheme="majorHAnsi"/>
          <w:color w:val="000000" w:themeColor="text1"/>
        </w:rPr>
        <w:t>s</w:t>
      </w:r>
      <w:r w:rsidR="00A37F65" w:rsidRPr="00387931">
        <w:rPr>
          <w:rFonts w:asciiTheme="majorHAnsi" w:hAnsiTheme="majorHAnsi"/>
          <w:color w:val="000000" w:themeColor="text1"/>
        </w:rPr>
        <w:t xml:space="preserve">. The main impact </w:t>
      </w:r>
      <w:r w:rsidR="00082CE1">
        <w:rPr>
          <w:rFonts w:asciiTheme="majorHAnsi" w:hAnsiTheme="majorHAnsi"/>
          <w:color w:val="000000" w:themeColor="text1"/>
        </w:rPr>
        <w:t xml:space="preserve">of this study </w:t>
      </w:r>
      <w:r w:rsidR="00A37F65" w:rsidRPr="00387931">
        <w:rPr>
          <w:rFonts w:asciiTheme="majorHAnsi" w:hAnsiTheme="majorHAnsi"/>
          <w:color w:val="000000" w:themeColor="text1"/>
        </w:rPr>
        <w:t xml:space="preserve">is therefore mainly in tissue engineering and regenerative medicine. Furthermore, in the pharmaceutical industry, </w:t>
      </w:r>
      <w:r w:rsidR="00082CE1">
        <w:rPr>
          <w:rFonts w:asciiTheme="majorHAnsi" w:hAnsiTheme="majorHAnsi"/>
          <w:color w:val="000000" w:themeColor="text1"/>
        </w:rPr>
        <w:t xml:space="preserve">due to the perspective </w:t>
      </w:r>
      <w:r w:rsidR="00A37F65" w:rsidRPr="00387931">
        <w:rPr>
          <w:rFonts w:asciiTheme="majorHAnsi" w:hAnsiTheme="majorHAnsi"/>
          <w:color w:val="000000" w:themeColor="text1"/>
        </w:rPr>
        <w:t xml:space="preserve">to avoid adverse effects and </w:t>
      </w:r>
      <w:r w:rsidR="00082CE1">
        <w:rPr>
          <w:rFonts w:asciiTheme="majorHAnsi" w:hAnsiTheme="majorHAnsi"/>
          <w:color w:val="000000" w:themeColor="text1"/>
        </w:rPr>
        <w:t>reduction of</w:t>
      </w:r>
      <w:r w:rsidR="00A37F65" w:rsidRPr="00387931">
        <w:rPr>
          <w:rFonts w:asciiTheme="majorHAnsi" w:hAnsiTheme="majorHAnsi"/>
          <w:color w:val="000000" w:themeColor="text1"/>
        </w:rPr>
        <w:t xml:space="preserve"> the required dosage</w:t>
      </w:r>
      <w:r w:rsidR="00082CE1">
        <w:rPr>
          <w:rFonts w:asciiTheme="majorHAnsi" w:hAnsiTheme="majorHAnsi"/>
          <w:color w:val="000000" w:themeColor="text1"/>
        </w:rPr>
        <w:t>s.</w:t>
      </w:r>
      <w:r w:rsidR="00A37F65" w:rsidRPr="00387931">
        <w:rPr>
          <w:rFonts w:asciiTheme="majorHAnsi" w:hAnsiTheme="majorHAnsi"/>
          <w:color w:val="000000" w:themeColor="text1"/>
        </w:rPr>
        <w:t xml:space="preserve"> </w:t>
      </w:r>
      <w:r w:rsidR="00082CE1">
        <w:rPr>
          <w:rFonts w:asciiTheme="majorHAnsi" w:hAnsiTheme="majorHAnsi"/>
          <w:color w:val="000000" w:themeColor="text1"/>
        </w:rPr>
        <w:t xml:space="preserve">The importance of such research </w:t>
      </w:r>
      <w:r w:rsidR="00A37F65" w:rsidRPr="00387931">
        <w:rPr>
          <w:rFonts w:asciiTheme="majorHAnsi" w:hAnsiTheme="majorHAnsi"/>
          <w:color w:val="000000" w:themeColor="text1"/>
        </w:rPr>
        <w:t>is proofed by the growing interest of leading pharmaceutical companies in this field</w:t>
      </w:r>
      <w:r w:rsidR="0076601F" w:rsidRPr="00387931">
        <w:rPr>
          <w:rFonts w:asciiTheme="majorHAnsi" w:hAnsiTheme="majorHAnsi"/>
          <w:color w:val="000000" w:themeColor="text1"/>
        </w:rPr>
        <w:t>.</w:t>
      </w:r>
      <w:r w:rsidR="00A37F65" w:rsidRPr="00387931">
        <w:rPr>
          <w:rFonts w:asciiTheme="majorHAnsi" w:hAnsiTheme="majorHAnsi"/>
          <w:color w:val="000000" w:themeColor="text1"/>
        </w:rPr>
        <w:t xml:space="preserve"> </w:t>
      </w:r>
      <w:r w:rsidR="00A9710C" w:rsidRPr="000D6982">
        <w:rPr>
          <w:rFonts w:asciiTheme="majorHAnsi" w:hAnsiTheme="majorHAnsi"/>
        </w:rPr>
        <w:br w:type="column"/>
      </w:r>
    </w:p>
    <w:p w:rsidR="00AE3E37" w:rsidRDefault="00A73B05" w:rsidP="00A73B05">
      <w:pPr>
        <w:pStyle w:val="BodyText"/>
        <w:spacing w:before="2"/>
        <w:jc w:val="right"/>
        <w:rPr>
          <w:rFonts w:asciiTheme="majorHAnsi" w:hAnsiTheme="majorHAnsi"/>
          <w:b/>
          <w:sz w:val="16"/>
        </w:rPr>
      </w:pPr>
      <w:r w:rsidRPr="00A73B05">
        <w:rPr>
          <w:rFonts w:asciiTheme="majorHAnsi" w:hAnsiTheme="majorHAnsi"/>
          <w:b/>
          <w:noProof/>
          <w:sz w:val="16"/>
        </w:rPr>
        <w:drawing>
          <wp:inline distT="0" distB="0" distL="0" distR="0" wp14:anchorId="2D59032D" wp14:editId="0F9360EA">
            <wp:extent cx="3037668" cy="20852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5618" cy="2090693"/>
                    </a:xfrm>
                    <a:prstGeom prst="rect">
                      <a:avLst/>
                    </a:prstGeom>
                  </pic:spPr>
                </pic:pic>
              </a:graphicData>
            </a:graphic>
          </wp:inline>
        </w:drawing>
      </w:r>
    </w:p>
    <w:p w:rsidR="00A73B05" w:rsidRDefault="00A73B05" w:rsidP="00A73B05">
      <w:pPr>
        <w:pStyle w:val="BodyText"/>
        <w:spacing w:before="2"/>
        <w:jc w:val="right"/>
        <w:rPr>
          <w:rFonts w:asciiTheme="majorHAnsi" w:hAnsiTheme="majorHAnsi"/>
          <w:b/>
          <w:sz w:val="16"/>
        </w:rPr>
      </w:pPr>
    </w:p>
    <w:p w:rsidR="00A73B05" w:rsidRPr="00A73B05" w:rsidRDefault="00A73B05" w:rsidP="00A73B05">
      <w:pPr>
        <w:pStyle w:val="BodyText"/>
        <w:spacing w:before="3"/>
        <w:jc w:val="both"/>
        <w:rPr>
          <w:rFonts w:asciiTheme="majorHAnsi" w:hAnsiTheme="majorHAnsi"/>
          <w:b/>
          <w:sz w:val="16"/>
        </w:rPr>
      </w:pPr>
      <w:r w:rsidRPr="00A73B05">
        <w:rPr>
          <w:rFonts w:asciiTheme="majorHAnsi" w:hAnsiTheme="majorHAnsi"/>
          <w:b/>
          <w:sz w:val="16"/>
        </w:rPr>
        <w:t xml:space="preserve">Figure 1: </w:t>
      </w:r>
      <w:r w:rsidRPr="00A73B05">
        <w:rPr>
          <w:rFonts w:asciiTheme="majorHAnsi" w:hAnsiTheme="majorHAnsi"/>
          <w:sz w:val="16"/>
        </w:rPr>
        <w:t xml:space="preserve">Cumulative release profile of a short peptide </w:t>
      </w:r>
      <w:proofErr w:type="spellStart"/>
      <w:r w:rsidRPr="00A73B05">
        <w:rPr>
          <w:rFonts w:asciiTheme="majorHAnsi" w:hAnsiTheme="majorHAnsi"/>
          <w:sz w:val="16"/>
        </w:rPr>
        <w:t>Alaptide</w:t>
      </w:r>
      <w:proofErr w:type="spellEnd"/>
      <w:r w:rsidRPr="00A73B05">
        <w:rPr>
          <w:rFonts w:asciiTheme="majorHAnsi" w:hAnsiTheme="majorHAnsi"/>
          <w:sz w:val="16"/>
        </w:rPr>
        <w:t xml:space="preserve"> from polycaprolactone nanofibrous mat (left), images from fluorescent microscope showing increased number of cells on the mats after 14 days of incubation (right), SEM images demonstrating proliferation of cells on nanofibrous mats with different drug loading</w:t>
      </w:r>
      <w:r w:rsidR="00130376">
        <w:rPr>
          <w:rFonts w:asciiTheme="majorHAnsi" w:hAnsiTheme="majorHAnsi"/>
          <w:sz w:val="16"/>
        </w:rPr>
        <w:t>s</w:t>
      </w:r>
      <w:r w:rsidRPr="00A73B05">
        <w:rPr>
          <w:rFonts w:asciiTheme="majorHAnsi" w:hAnsiTheme="majorHAnsi"/>
          <w:sz w:val="16"/>
        </w:rPr>
        <w:t xml:space="preserve"> (bottom). </w:t>
      </w:r>
      <w:bookmarkStart w:id="0" w:name="_GoBack"/>
      <w:bookmarkEnd w:id="0"/>
    </w:p>
    <w:p w:rsidR="00A73B05" w:rsidRDefault="00A73B05" w:rsidP="00A73B05">
      <w:pPr>
        <w:pStyle w:val="BodyText"/>
        <w:spacing w:before="2"/>
        <w:jc w:val="right"/>
        <w:rPr>
          <w:rFonts w:asciiTheme="majorHAnsi" w:hAnsiTheme="majorHAnsi"/>
          <w:b/>
          <w:sz w:val="16"/>
        </w:rPr>
      </w:pPr>
    </w:p>
    <w:p w:rsidR="00A73B05" w:rsidRPr="000D6982" w:rsidRDefault="00A73B05" w:rsidP="00A73B05">
      <w:pPr>
        <w:pStyle w:val="BodyText"/>
        <w:spacing w:before="2"/>
        <w:jc w:val="right"/>
        <w:rPr>
          <w:rFonts w:asciiTheme="majorHAnsi" w:hAnsiTheme="majorHAnsi"/>
          <w:b/>
          <w:sz w:val="16"/>
        </w:rPr>
      </w:pPr>
    </w:p>
    <w:p w:rsidR="005973B9" w:rsidRPr="000D6982" w:rsidRDefault="005973B9" w:rsidP="005973B9">
      <w:pPr>
        <w:spacing w:line="204" w:lineRule="exact"/>
        <w:rPr>
          <w:rFonts w:asciiTheme="majorHAnsi" w:hAnsiTheme="majorHAnsi"/>
          <w:b/>
          <w:sz w:val="20"/>
        </w:rPr>
      </w:pPr>
      <w:r w:rsidRPr="000D6982">
        <w:rPr>
          <w:rFonts w:asciiTheme="majorHAnsi" w:hAnsiTheme="majorHAnsi"/>
          <w:b/>
          <w:color w:val="BF5A14"/>
          <w:sz w:val="20"/>
        </w:rPr>
        <w:br/>
        <w:t xml:space="preserve">Recent Publications </w:t>
      </w:r>
    </w:p>
    <w:p w:rsidR="00F62C72" w:rsidRDefault="00F62C72" w:rsidP="00A73B05">
      <w:pPr>
        <w:pStyle w:val="ListParagraph"/>
        <w:numPr>
          <w:ilvl w:val="0"/>
          <w:numId w:val="3"/>
        </w:numPr>
        <w:tabs>
          <w:tab w:val="left" w:pos="384"/>
        </w:tabs>
        <w:spacing w:before="103" w:line="216" w:lineRule="exact"/>
        <w:ind w:right="138" w:hanging="283"/>
        <w:rPr>
          <w:rFonts w:asciiTheme="majorHAnsi" w:hAnsiTheme="majorHAnsi"/>
          <w:sz w:val="18"/>
        </w:rPr>
      </w:pPr>
      <w:r>
        <w:rPr>
          <w:rFonts w:asciiTheme="majorHAnsi" w:hAnsiTheme="majorHAnsi"/>
          <w:sz w:val="18"/>
        </w:rPr>
        <w:t xml:space="preserve">K. </w:t>
      </w:r>
      <w:proofErr w:type="spellStart"/>
      <w:r>
        <w:rPr>
          <w:rFonts w:asciiTheme="majorHAnsi" w:hAnsiTheme="majorHAnsi"/>
          <w:sz w:val="18"/>
        </w:rPr>
        <w:t>Kataria</w:t>
      </w:r>
      <w:proofErr w:type="spellEnd"/>
      <w:r>
        <w:rPr>
          <w:rFonts w:asciiTheme="majorHAnsi" w:hAnsiTheme="majorHAnsi"/>
          <w:sz w:val="18"/>
        </w:rPr>
        <w:t xml:space="preserve"> et al.</w:t>
      </w:r>
      <w:r w:rsidRPr="00F62C72">
        <w:rPr>
          <w:rFonts w:asciiTheme="majorHAnsi" w:hAnsiTheme="majorHAnsi"/>
          <w:sz w:val="18"/>
        </w:rPr>
        <w:t xml:space="preserve">, “In vivo wound healing performance of drug loaded </w:t>
      </w:r>
      <w:proofErr w:type="spellStart"/>
      <w:r w:rsidRPr="00F62C72">
        <w:rPr>
          <w:rFonts w:asciiTheme="majorHAnsi" w:hAnsiTheme="majorHAnsi"/>
          <w:sz w:val="18"/>
        </w:rPr>
        <w:t>electrospun</w:t>
      </w:r>
      <w:proofErr w:type="spellEnd"/>
      <w:r w:rsidRPr="00F62C72">
        <w:rPr>
          <w:rFonts w:asciiTheme="majorHAnsi" w:hAnsiTheme="majorHAnsi"/>
          <w:sz w:val="18"/>
        </w:rPr>
        <w:t xml:space="preserve"> composite </w:t>
      </w:r>
      <w:proofErr w:type="spellStart"/>
      <w:r w:rsidRPr="00F62C72">
        <w:rPr>
          <w:rFonts w:asciiTheme="majorHAnsi" w:hAnsiTheme="majorHAnsi"/>
          <w:sz w:val="18"/>
        </w:rPr>
        <w:t>nano</w:t>
      </w:r>
      <w:proofErr w:type="spellEnd"/>
      <w:r w:rsidRPr="00F62C72">
        <w:rPr>
          <w:rFonts w:asciiTheme="majorHAnsi" w:hAnsiTheme="majorHAnsi"/>
          <w:sz w:val="18"/>
        </w:rPr>
        <w:t xml:space="preserve"> fi </w:t>
      </w:r>
      <w:proofErr w:type="spellStart"/>
      <w:r w:rsidRPr="00F62C72">
        <w:rPr>
          <w:rFonts w:asciiTheme="majorHAnsi" w:hAnsiTheme="majorHAnsi"/>
          <w:sz w:val="18"/>
        </w:rPr>
        <w:t>bers</w:t>
      </w:r>
      <w:proofErr w:type="spellEnd"/>
      <w:r w:rsidRPr="00F62C72">
        <w:rPr>
          <w:rFonts w:asciiTheme="majorHAnsi" w:hAnsiTheme="majorHAnsi"/>
          <w:sz w:val="18"/>
        </w:rPr>
        <w:t xml:space="preserve"> transdermal patch,” Int. J. Pharm., vol. 469, no. 1, pp. 102–110, 2014.</w:t>
      </w:r>
    </w:p>
    <w:p w:rsidR="00F62C72" w:rsidRDefault="00F62C72" w:rsidP="00A73B05">
      <w:pPr>
        <w:pStyle w:val="ListParagraph"/>
        <w:numPr>
          <w:ilvl w:val="0"/>
          <w:numId w:val="3"/>
        </w:numPr>
        <w:tabs>
          <w:tab w:val="left" w:pos="384"/>
        </w:tabs>
        <w:spacing w:before="103" w:line="216" w:lineRule="exact"/>
        <w:ind w:right="138" w:hanging="283"/>
        <w:rPr>
          <w:rFonts w:asciiTheme="majorHAnsi" w:hAnsiTheme="majorHAnsi"/>
          <w:sz w:val="18"/>
        </w:rPr>
      </w:pPr>
      <w:r w:rsidRPr="00F62C72">
        <w:rPr>
          <w:rFonts w:asciiTheme="majorHAnsi" w:hAnsiTheme="majorHAnsi"/>
          <w:sz w:val="18"/>
        </w:rPr>
        <w:t xml:space="preserve">L. </w:t>
      </w:r>
      <w:proofErr w:type="spellStart"/>
      <w:r w:rsidRPr="00F62C72">
        <w:rPr>
          <w:rFonts w:asciiTheme="majorHAnsi" w:hAnsiTheme="majorHAnsi"/>
          <w:sz w:val="18"/>
        </w:rPr>
        <w:t>Preem</w:t>
      </w:r>
      <w:proofErr w:type="spellEnd"/>
      <w:r w:rsidRPr="00F62C72">
        <w:rPr>
          <w:rFonts w:asciiTheme="majorHAnsi" w:hAnsiTheme="majorHAnsi"/>
          <w:sz w:val="18"/>
        </w:rPr>
        <w:t xml:space="preserve"> et al., “Interactions between </w:t>
      </w:r>
      <w:r w:rsidR="003F110C" w:rsidRPr="00F62C72">
        <w:rPr>
          <w:rFonts w:asciiTheme="majorHAnsi" w:hAnsiTheme="majorHAnsi"/>
          <w:sz w:val="18"/>
        </w:rPr>
        <w:t>chloramphenicol,</w:t>
      </w:r>
      <w:r w:rsidRPr="00F62C72">
        <w:rPr>
          <w:rFonts w:asciiTheme="majorHAnsi" w:hAnsiTheme="majorHAnsi"/>
          <w:sz w:val="18"/>
        </w:rPr>
        <w:t xml:space="preserve"> carrier polymers and bacteria – implications for designing </w:t>
      </w:r>
      <w:proofErr w:type="spellStart"/>
      <w:r w:rsidRPr="00F62C72">
        <w:rPr>
          <w:rFonts w:asciiTheme="majorHAnsi" w:hAnsiTheme="majorHAnsi"/>
          <w:sz w:val="18"/>
        </w:rPr>
        <w:t>electrospun</w:t>
      </w:r>
      <w:proofErr w:type="spellEnd"/>
      <w:r w:rsidRPr="00F62C72">
        <w:rPr>
          <w:rFonts w:asciiTheme="majorHAnsi" w:hAnsiTheme="majorHAnsi"/>
          <w:sz w:val="18"/>
        </w:rPr>
        <w:t xml:space="preserve"> drug delivery systems countering wound infection,” 2017.</w:t>
      </w:r>
    </w:p>
    <w:p w:rsidR="00F62C72" w:rsidRDefault="00F62C72" w:rsidP="00A73B05">
      <w:pPr>
        <w:pStyle w:val="ListParagraph"/>
        <w:numPr>
          <w:ilvl w:val="0"/>
          <w:numId w:val="3"/>
        </w:numPr>
        <w:tabs>
          <w:tab w:val="left" w:pos="384"/>
        </w:tabs>
        <w:spacing w:before="103" w:line="216" w:lineRule="exact"/>
        <w:ind w:right="138" w:hanging="283"/>
        <w:rPr>
          <w:rFonts w:asciiTheme="majorHAnsi" w:hAnsiTheme="majorHAnsi"/>
          <w:sz w:val="18"/>
        </w:rPr>
      </w:pPr>
      <w:r w:rsidRPr="00F62C72">
        <w:rPr>
          <w:rFonts w:asciiTheme="majorHAnsi" w:hAnsiTheme="majorHAnsi"/>
          <w:sz w:val="18"/>
        </w:rPr>
        <w:t xml:space="preserve">Z. </w:t>
      </w:r>
      <w:proofErr w:type="spellStart"/>
      <w:r w:rsidRPr="00F62C72">
        <w:rPr>
          <w:rFonts w:asciiTheme="majorHAnsi" w:hAnsiTheme="majorHAnsi"/>
          <w:sz w:val="18"/>
        </w:rPr>
        <w:t>Huo</w:t>
      </w:r>
      <w:proofErr w:type="spellEnd"/>
      <w:r w:rsidRPr="00F62C72">
        <w:rPr>
          <w:rFonts w:asciiTheme="majorHAnsi" w:hAnsiTheme="majorHAnsi"/>
          <w:sz w:val="18"/>
        </w:rPr>
        <w:t xml:space="preserve"> et al., “Electrospinning Preparation of Timosaponin B-II-Loaded PLLA Nanofibers and Their Antitumor Recurrence Activities In Vivo,” vol. 2015, 2015.</w:t>
      </w:r>
    </w:p>
    <w:p w:rsidR="00F62C72" w:rsidRDefault="00F62C72" w:rsidP="00A73B05">
      <w:pPr>
        <w:pStyle w:val="ListParagraph"/>
        <w:numPr>
          <w:ilvl w:val="0"/>
          <w:numId w:val="3"/>
        </w:numPr>
        <w:tabs>
          <w:tab w:val="left" w:pos="384"/>
        </w:tabs>
        <w:spacing w:before="103" w:line="216" w:lineRule="exact"/>
        <w:ind w:right="138" w:hanging="283"/>
        <w:rPr>
          <w:rFonts w:asciiTheme="majorHAnsi" w:hAnsiTheme="majorHAnsi"/>
          <w:sz w:val="18"/>
        </w:rPr>
      </w:pPr>
      <w:r w:rsidRPr="00F62C72">
        <w:rPr>
          <w:rFonts w:asciiTheme="majorHAnsi" w:hAnsiTheme="majorHAnsi"/>
          <w:sz w:val="18"/>
        </w:rPr>
        <w:t xml:space="preserve">Z. </w:t>
      </w:r>
      <w:proofErr w:type="spellStart"/>
      <w:r w:rsidRPr="00F62C72">
        <w:rPr>
          <w:rFonts w:asciiTheme="majorHAnsi" w:hAnsiTheme="majorHAnsi"/>
          <w:sz w:val="18"/>
        </w:rPr>
        <w:t>Sklenář</w:t>
      </w:r>
      <w:proofErr w:type="spellEnd"/>
      <w:r w:rsidRPr="00F62C72">
        <w:rPr>
          <w:rFonts w:asciiTheme="majorHAnsi" w:hAnsiTheme="majorHAnsi"/>
          <w:sz w:val="18"/>
        </w:rPr>
        <w:t xml:space="preserve">, </w:t>
      </w:r>
      <w:r>
        <w:rPr>
          <w:rFonts w:asciiTheme="majorHAnsi" w:hAnsiTheme="majorHAnsi"/>
          <w:sz w:val="18"/>
        </w:rPr>
        <w:t>et al.</w:t>
      </w:r>
      <w:r w:rsidRPr="00F62C72">
        <w:rPr>
          <w:rFonts w:asciiTheme="majorHAnsi" w:hAnsiTheme="majorHAnsi"/>
          <w:sz w:val="18"/>
        </w:rPr>
        <w:t xml:space="preserve">, “Formulation and release of </w:t>
      </w:r>
      <w:proofErr w:type="spellStart"/>
      <w:r w:rsidRPr="00F62C72">
        <w:rPr>
          <w:rFonts w:asciiTheme="majorHAnsi" w:hAnsiTheme="majorHAnsi"/>
          <w:sz w:val="18"/>
        </w:rPr>
        <w:t>alaptide</w:t>
      </w:r>
      <w:proofErr w:type="spellEnd"/>
      <w:r w:rsidRPr="00F62C72">
        <w:rPr>
          <w:rFonts w:asciiTheme="majorHAnsi" w:hAnsiTheme="majorHAnsi"/>
          <w:sz w:val="18"/>
        </w:rPr>
        <w:t xml:space="preserve"> from cellulose-based hydrogels,” Acta Vet. Brno, vol. 81, no. 3, pp. 301–306, 2012.</w:t>
      </w:r>
    </w:p>
    <w:p w:rsidR="00F62C72" w:rsidRPr="00A73B05" w:rsidRDefault="00F62C72" w:rsidP="00A73B05">
      <w:pPr>
        <w:pStyle w:val="ListParagraph"/>
        <w:numPr>
          <w:ilvl w:val="0"/>
          <w:numId w:val="3"/>
        </w:numPr>
        <w:tabs>
          <w:tab w:val="left" w:pos="384"/>
        </w:tabs>
        <w:spacing w:before="103" w:line="216" w:lineRule="exact"/>
        <w:ind w:right="138" w:hanging="283"/>
        <w:rPr>
          <w:rFonts w:asciiTheme="majorHAnsi" w:hAnsiTheme="majorHAnsi"/>
          <w:sz w:val="18"/>
        </w:rPr>
      </w:pPr>
      <w:r w:rsidRPr="00F62C72">
        <w:rPr>
          <w:rFonts w:asciiTheme="majorHAnsi" w:hAnsiTheme="majorHAnsi"/>
          <w:sz w:val="18"/>
        </w:rPr>
        <w:t xml:space="preserve">D. Press, “Advances in drug delivery via </w:t>
      </w:r>
      <w:proofErr w:type="spellStart"/>
      <w:r w:rsidRPr="00F62C72">
        <w:rPr>
          <w:rFonts w:asciiTheme="majorHAnsi" w:hAnsiTheme="majorHAnsi"/>
          <w:sz w:val="18"/>
        </w:rPr>
        <w:t>electrospun</w:t>
      </w:r>
      <w:proofErr w:type="spellEnd"/>
      <w:r w:rsidRPr="00F62C72">
        <w:rPr>
          <w:rFonts w:asciiTheme="majorHAnsi" w:hAnsiTheme="majorHAnsi"/>
          <w:sz w:val="18"/>
        </w:rPr>
        <w:t xml:space="preserve"> and </w:t>
      </w:r>
      <w:proofErr w:type="spellStart"/>
      <w:r w:rsidRPr="00F62C72">
        <w:rPr>
          <w:rFonts w:asciiTheme="majorHAnsi" w:hAnsiTheme="majorHAnsi"/>
          <w:sz w:val="18"/>
        </w:rPr>
        <w:t>electrosprayed</w:t>
      </w:r>
      <w:proofErr w:type="spellEnd"/>
      <w:r w:rsidRPr="00F62C72">
        <w:rPr>
          <w:rFonts w:asciiTheme="majorHAnsi" w:hAnsiTheme="majorHAnsi"/>
          <w:sz w:val="18"/>
        </w:rPr>
        <w:t xml:space="preserve"> nanomaterials,” pp. 2997–3017, 2013.</w:t>
      </w:r>
    </w:p>
    <w:p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r w:rsidRPr="000D6982">
        <w:rPr>
          <w:rFonts w:asciiTheme="majorHAnsi" w:hAnsiTheme="majorHAnsi"/>
        </w:rPr>
        <w:t xml:space="preserve">   </w:t>
      </w:r>
    </w:p>
    <w:p w:rsidR="00AE3E37" w:rsidRPr="000D6982" w:rsidRDefault="00AE3E37">
      <w:pPr>
        <w:pStyle w:val="BodyText"/>
        <w:rPr>
          <w:rFonts w:asciiTheme="majorHAnsi" w:hAnsiTheme="majorHAnsi"/>
          <w:sz w:val="20"/>
        </w:rPr>
      </w:pPr>
    </w:p>
    <w:p w:rsidR="00A73B05" w:rsidRPr="00A73B05" w:rsidRDefault="00292ED9" w:rsidP="00A73B05">
      <w:pPr>
        <w:pStyle w:val="BodyText"/>
        <w:spacing w:line="40" w:lineRule="exact"/>
        <w:ind w:left="2202"/>
        <w:rPr>
          <w:rFonts w:asciiTheme="majorHAnsi" w:hAnsiTheme="majorHAnsi"/>
          <w:sz w:val="4"/>
        </w:rPr>
      </w:pPr>
      <w:r w:rsidRPr="000D6982">
        <w:rPr>
          <w:rFonts w:asciiTheme="majorHAnsi" w:hAnsiTheme="majorHAnsi"/>
          <w:noProof/>
          <w:sz w:val="4"/>
          <w:lang w:val="en-IN" w:eastAsia="en-IN"/>
        </w:rPr>
        <mc:AlternateContent>
          <mc:Choice Requires="wpg">
            <w:drawing>
              <wp:inline distT="0" distB="0" distL="0" distR="0" wp14:anchorId="14F18DBC" wp14:editId="11D71B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41A28" w:rsidRDefault="00F62C72" w:rsidP="00404E5B">
      <w:pPr>
        <w:spacing w:before="92"/>
        <w:ind w:right="4234"/>
        <w:rPr>
          <w:rFonts w:asciiTheme="majorHAnsi" w:hAnsiTheme="majorHAnsi"/>
          <w:sz w:val="18"/>
          <w:szCs w:val="18"/>
        </w:rPr>
      </w:pPr>
      <w:r w:rsidRPr="000D6982">
        <w:rPr>
          <w:rFonts w:asciiTheme="majorHAnsi" w:hAnsiTheme="majorHAnsi"/>
          <w:noProof/>
          <w:lang w:val="en-IN" w:eastAsia="en-IN"/>
        </w:rPr>
        <w:drawing>
          <wp:anchor distT="0" distB="0" distL="114300" distR="114300" simplePos="0" relativeHeight="251672576" behindDoc="0" locked="0" layoutInCell="1" allowOverlap="1" wp14:anchorId="043FF135">
            <wp:simplePos x="0" y="0"/>
            <wp:positionH relativeFrom="column">
              <wp:posOffset>18415</wp:posOffset>
            </wp:positionH>
            <wp:positionV relativeFrom="paragraph">
              <wp:posOffset>188629</wp:posOffset>
            </wp:positionV>
            <wp:extent cx="485140" cy="55245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8514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sidRPr="00041A28">
        <w:rPr>
          <w:rFonts w:asciiTheme="majorHAnsi" w:hAnsiTheme="majorHAnsi"/>
          <w:color w:val="BF5A14"/>
          <w:sz w:val="18"/>
          <w:szCs w:val="18"/>
        </w:rPr>
        <w:t>Biography</w:t>
      </w:r>
      <w:r w:rsidR="00404E5B" w:rsidRPr="00041A28">
        <w:rPr>
          <w:rFonts w:asciiTheme="majorHAnsi" w:hAnsiTheme="majorHAnsi"/>
          <w:color w:val="BF5A14"/>
          <w:sz w:val="18"/>
          <w:szCs w:val="18"/>
        </w:rPr>
        <w:t xml:space="preserve"> </w:t>
      </w:r>
    </w:p>
    <w:p w:rsidR="002F2107" w:rsidRPr="0056129E" w:rsidRDefault="00C63249" w:rsidP="0056129E">
      <w:pPr>
        <w:spacing w:line="360" w:lineRule="auto"/>
        <w:jc w:val="both"/>
        <w:rPr>
          <w:rFonts w:asciiTheme="majorHAnsi" w:hAnsiTheme="majorHAnsi"/>
          <w:sz w:val="18"/>
          <w:szCs w:val="18"/>
        </w:rPr>
      </w:pPr>
      <w:r>
        <w:rPr>
          <w:rFonts w:asciiTheme="majorHAnsi" w:hAnsiTheme="majorHAnsi"/>
          <w:sz w:val="18"/>
          <w:szCs w:val="18"/>
        </w:rPr>
        <w:t xml:space="preserve">Eng. </w:t>
      </w:r>
      <w:proofErr w:type="spellStart"/>
      <w:r>
        <w:rPr>
          <w:rFonts w:asciiTheme="majorHAnsi" w:hAnsiTheme="majorHAnsi"/>
          <w:sz w:val="18"/>
          <w:szCs w:val="18"/>
        </w:rPr>
        <w:t>Nikifor</w:t>
      </w:r>
      <w:proofErr w:type="spellEnd"/>
      <w:r>
        <w:rPr>
          <w:rFonts w:asciiTheme="majorHAnsi" w:hAnsiTheme="majorHAnsi"/>
          <w:sz w:val="18"/>
          <w:szCs w:val="18"/>
        </w:rPr>
        <w:t xml:space="preserve"> </w:t>
      </w:r>
      <w:proofErr w:type="spellStart"/>
      <w:r>
        <w:rPr>
          <w:rFonts w:asciiTheme="majorHAnsi" w:hAnsiTheme="majorHAnsi"/>
          <w:sz w:val="18"/>
          <w:szCs w:val="18"/>
        </w:rPr>
        <w:t>Asatiani</w:t>
      </w:r>
      <w:proofErr w:type="spellEnd"/>
      <w:r w:rsidR="000D6982" w:rsidRPr="00041A28">
        <w:rPr>
          <w:rFonts w:asciiTheme="majorHAnsi" w:hAnsiTheme="majorHAnsi"/>
          <w:sz w:val="18"/>
          <w:szCs w:val="18"/>
        </w:rPr>
        <w:t xml:space="preserve"> has been Graduated from </w:t>
      </w:r>
      <w:r>
        <w:rPr>
          <w:rFonts w:asciiTheme="majorHAnsi" w:hAnsiTheme="majorHAnsi"/>
          <w:sz w:val="18"/>
          <w:szCs w:val="18"/>
        </w:rPr>
        <w:t>Technical University</w:t>
      </w:r>
      <w:r w:rsidR="000D6982" w:rsidRPr="00041A28">
        <w:rPr>
          <w:rFonts w:asciiTheme="majorHAnsi" w:hAnsiTheme="majorHAnsi"/>
          <w:sz w:val="18"/>
          <w:szCs w:val="18"/>
        </w:rPr>
        <w:t xml:space="preserve"> of </w:t>
      </w:r>
      <w:r>
        <w:rPr>
          <w:rFonts w:asciiTheme="majorHAnsi" w:hAnsiTheme="majorHAnsi"/>
          <w:sz w:val="18"/>
          <w:szCs w:val="18"/>
        </w:rPr>
        <w:t>Liberec (Czech Republic)</w:t>
      </w:r>
      <w:r w:rsidR="000D6982" w:rsidRPr="00041A28">
        <w:rPr>
          <w:rFonts w:asciiTheme="majorHAnsi" w:hAnsiTheme="majorHAnsi"/>
          <w:sz w:val="18"/>
          <w:szCs w:val="18"/>
        </w:rPr>
        <w:t xml:space="preserve">, </w:t>
      </w:r>
      <w:r>
        <w:rPr>
          <w:rFonts w:asciiTheme="majorHAnsi" w:hAnsiTheme="majorHAnsi"/>
          <w:sz w:val="18"/>
          <w:szCs w:val="18"/>
        </w:rPr>
        <w:t>in 2018</w:t>
      </w:r>
      <w:r w:rsidR="000D6982" w:rsidRPr="00041A28">
        <w:rPr>
          <w:rFonts w:asciiTheme="majorHAnsi" w:hAnsiTheme="majorHAnsi"/>
          <w:sz w:val="18"/>
          <w:szCs w:val="18"/>
        </w:rPr>
        <w:t xml:space="preserve"> with the specialties including </w:t>
      </w:r>
      <w:r>
        <w:rPr>
          <w:rFonts w:asciiTheme="majorHAnsi" w:hAnsiTheme="majorHAnsi"/>
          <w:sz w:val="18"/>
          <w:szCs w:val="18"/>
        </w:rPr>
        <w:t>Nonwoven materials</w:t>
      </w:r>
      <w:r w:rsidR="000D6982" w:rsidRPr="00041A28">
        <w:rPr>
          <w:rFonts w:asciiTheme="majorHAnsi" w:hAnsiTheme="majorHAnsi"/>
          <w:sz w:val="18"/>
          <w:szCs w:val="18"/>
        </w:rPr>
        <w:t xml:space="preserve">, </w:t>
      </w:r>
      <w:r>
        <w:rPr>
          <w:rFonts w:asciiTheme="majorHAnsi" w:hAnsiTheme="majorHAnsi"/>
          <w:sz w:val="18"/>
          <w:szCs w:val="18"/>
        </w:rPr>
        <w:t xml:space="preserve">Tissue Engineering and Nanomaterials. </w:t>
      </w:r>
      <w:r w:rsidR="000D6982" w:rsidRPr="00041A28">
        <w:rPr>
          <w:rFonts w:asciiTheme="majorHAnsi" w:hAnsiTheme="majorHAnsi"/>
          <w:sz w:val="18"/>
          <w:szCs w:val="18"/>
        </w:rPr>
        <w:t xml:space="preserve"> </w:t>
      </w:r>
      <w:r>
        <w:rPr>
          <w:rFonts w:asciiTheme="majorHAnsi" w:hAnsiTheme="majorHAnsi"/>
          <w:sz w:val="18"/>
          <w:szCs w:val="18"/>
        </w:rPr>
        <w:t xml:space="preserve">Later on, he continued his research in development of </w:t>
      </w:r>
      <w:proofErr w:type="spellStart"/>
      <w:r>
        <w:rPr>
          <w:rFonts w:asciiTheme="majorHAnsi" w:hAnsiTheme="majorHAnsi"/>
          <w:sz w:val="18"/>
          <w:szCs w:val="18"/>
        </w:rPr>
        <w:t>electrospun</w:t>
      </w:r>
      <w:proofErr w:type="spellEnd"/>
      <w:r>
        <w:rPr>
          <w:rFonts w:asciiTheme="majorHAnsi" w:hAnsiTheme="majorHAnsi"/>
          <w:sz w:val="18"/>
          <w:szCs w:val="18"/>
        </w:rPr>
        <w:t xml:space="preserve">-based wound dressings and </w:t>
      </w:r>
      <w:r w:rsidR="00E73CA0">
        <w:rPr>
          <w:rFonts w:asciiTheme="majorHAnsi" w:hAnsiTheme="majorHAnsi"/>
          <w:sz w:val="18"/>
          <w:szCs w:val="18"/>
        </w:rPr>
        <w:t xml:space="preserve">then he </w:t>
      </w:r>
      <w:r>
        <w:rPr>
          <w:rFonts w:asciiTheme="majorHAnsi" w:hAnsiTheme="majorHAnsi"/>
          <w:sz w:val="18"/>
          <w:szCs w:val="18"/>
        </w:rPr>
        <w:t xml:space="preserve">applied for post-graduate study in 2018. </w:t>
      </w:r>
      <w:r w:rsidR="000D6982" w:rsidRPr="00041A28">
        <w:rPr>
          <w:rFonts w:asciiTheme="majorHAnsi" w:hAnsiTheme="majorHAnsi"/>
          <w:sz w:val="18"/>
          <w:szCs w:val="18"/>
        </w:rPr>
        <w:t>Presen</w:t>
      </w:r>
      <w:r>
        <w:rPr>
          <w:rFonts w:asciiTheme="majorHAnsi" w:hAnsiTheme="majorHAnsi"/>
          <w:sz w:val="18"/>
          <w:szCs w:val="18"/>
        </w:rPr>
        <w:t xml:space="preserve">tly he has been working at the Technical University and </w:t>
      </w:r>
      <w:r w:rsidR="00E73CA0">
        <w:rPr>
          <w:rFonts w:asciiTheme="majorHAnsi" w:hAnsiTheme="majorHAnsi"/>
          <w:sz w:val="18"/>
          <w:szCs w:val="18"/>
        </w:rPr>
        <w:t>t</w:t>
      </w:r>
      <w:r w:rsidRPr="00C63249">
        <w:rPr>
          <w:rFonts w:asciiTheme="majorHAnsi" w:hAnsiTheme="majorHAnsi"/>
          <w:sz w:val="18"/>
          <w:szCs w:val="18"/>
        </w:rPr>
        <w:t xml:space="preserve">he Institute for Nanomaterials, Advanced Technology and Innovation </w:t>
      </w:r>
      <w:r w:rsidR="000D6982" w:rsidRPr="00041A28">
        <w:rPr>
          <w:rFonts w:asciiTheme="majorHAnsi" w:hAnsiTheme="majorHAnsi"/>
          <w:sz w:val="18"/>
          <w:szCs w:val="18"/>
        </w:rPr>
        <w:t xml:space="preserve">at the </w:t>
      </w:r>
      <w:r>
        <w:rPr>
          <w:rFonts w:asciiTheme="majorHAnsi" w:hAnsiTheme="majorHAnsi"/>
          <w:sz w:val="18"/>
          <w:szCs w:val="18"/>
        </w:rPr>
        <w:t>Liberec</w:t>
      </w:r>
      <w:r w:rsidR="000D6982" w:rsidRPr="00041A28">
        <w:rPr>
          <w:rFonts w:asciiTheme="majorHAnsi" w:hAnsiTheme="majorHAnsi"/>
          <w:sz w:val="18"/>
          <w:szCs w:val="18"/>
        </w:rPr>
        <w:t xml:space="preserve"> City. </w:t>
      </w:r>
      <w:r w:rsidR="000D6982" w:rsidRPr="00041A28">
        <w:rPr>
          <w:rFonts w:asciiTheme="majorHAnsi" w:hAnsiTheme="majorHAnsi"/>
          <w:sz w:val="18"/>
          <w:szCs w:val="18"/>
        </w:rPr>
        <w:tab/>
      </w:r>
    </w:p>
    <w:p w:rsidR="000D6982" w:rsidRPr="00041A28" w:rsidRDefault="000D6982" w:rsidP="000D6982">
      <w:pPr>
        <w:rPr>
          <w:rFonts w:asciiTheme="majorHAnsi" w:hAnsiTheme="majorHAnsi"/>
          <w:sz w:val="18"/>
          <w:szCs w:val="18"/>
        </w:rPr>
      </w:pPr>
      <w:r w:rsidRPr="00041A28">
        <w:rPr>
          <w:rFonts w:asciiTheme="majorHAnsi" w:hAnsiTheme="majorHAnsi"/>
          <w:b/>
          <w:sz w:val="18"/>
          <w:szCs w:val="18"/>
        </w:rPr>
        <w:lastRenderedPageBreak/>
        <w:t>Keywords:</w:t>
      </w:r>
      <w:r w:rsidRPr="00041A28">
        <w:rPr>
          <w:rFonts w:asciiTheme="majorHAnsi" w:hAnsiTheme="majorHAnsi"/>
          <w:sz w:val="18"/>
          <w:szCs w:val="18"/>
        </w:rPr>
        <w:t xml:space="preserve"> </w:t>
      </w:r>
      <w:r w:rsidR="00F337F2">
        <w:rPr>
          <w:rFonts w:asciiTheme="majorHAnsi" w:hAnsiTheme="majorHAnsi"/>
          <w:sz w:val="18"/>
          <w:szCs w:val="18"/>
        </w:rPr>
        <w:t>wound dressings</w:t>
      </w:r>
      <w:r w:rsidRPr="00041A28">
        <w:rPr>
          <w:rFonts w:asciiTheme="majorHAnsi" w:hAnsiTheme="majorHAnsi"/>
          <w:sz w:val="18"/>
          <w:szCs w:val="18"/>
        </w:rPr>
        <w:t xml:space="preserve">, </w:t>
      </w:r>
      <w:r w:rsidR="00F337F2">
        <w:rPr>
          <w:rFonts w:asciiTheme="majorHAnsi" w:hAnsiTheme="majorHAnsi"/>
          <w:sz w:val="18"/>
          <w:szCs w:val="18"/>
        </w:rPr>
        <w:t>drug release kinetics</w:t>
      </w:r>
      <w:r w:rsidRPr="00041A28">
        <w:rPr>
          <w:rFonts w:asciiTheme="majorHAnsi" w:hAnsiTheme="majorHAnsi"/>
          <w:sz w:val="18"/>
          <w:szCs w:val="18"/>
        </w:rPr>
        <w:t xml:space="preserve">, </w:t>
      </w:r>
      <w:r w:rsidR="00F337F2">
        <w:rPr>
          <w:rFonts w:asciiTheme="majorHAnsi" w:hAnsiTheme="majorHAnsi"/>
          <w:sz w:val="18"/>
          <w:szCs w:val="18"/>
        </w:rPr>
        <w:t>short peptides</w:t>
      </w:r>
      <w:r w:rsidRPr="00041A28">
        <w:rPr>
          <w:rFonts w:asciiTheme="majorHAnsi" w:hAnsiTheme="majorHAnsi"/>
          <w:sz w:val="18"/>
          <w:szCs w:val="18"/>
        </w:rPr>
        <w:t xml:space="preserve">, </w:t>
      </w:r>
      <w:r w:rsidR="00F337F2">
        <w:rPr>
          <w:rFonts w:asciiTheme="majorHAnsi" w:hAnsiTheme="majorHAnsi"/>
          <w:sz w:val="18"/>
          <w:szCs w:val="18"/>
        </w:rPr>
        <w:t>electrospinning.</w:t>
      </w:r>
    </w:p>
    <w:p w:rsidR="000D6982" w:rsidRPr="00041A28" w:rsidRDefault="000D6982" w:rsidP="000D6982">
      <w:pPr>
        <w:pStyle w:val="Paragraph"/>
        <w:tabs>
          <w:tab w:val="left" w:pos="2520"/>
        </w:tabs>
        <w:ind w:firstLine="0"/>
        <w:jc w:val="both"/>
        <w:rPr>
          <w:rFonts w:asciiTheme="majorHAnsi" w:hAnsiTheme="majorHAnsi"/>
          <w:b/>
          <w:bCs/>
          <w:sz w:val="18"/>
          <w:szCs w:val="18"/>
        </w:rPr>
      </w:pPr>
    </w:p>
    <w:p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Pr="00041A28">
        <w:rPr>
          <w:rFonts w:asciiTheme="majorHAnsi" w:hAnsiTheme="majorHAnsi"/>
          <w:b/>
          <w:bCs/>
          <w:sz w:val="18"/>
          <w:szCs w:val="18"/>
        </w:rPr>
        <w:tab/>
      </w:r>
      <w:r w:rsidRPr="00447448">
        <w:rPr>
          <w:rFonts w:asciiTheme="majorHAnsi" w:hAnsiTheme="majorHAnsi"/>
          <w:b/>
          <w:bCs/>
          <w:sz w:val="18"/>
          <w:szCs w:val="18"/>
        </w:rPr>
        <w:t>Poster</w:t>
      </w:r>
      <w:r w:rsidR="00595FDD">
        <w:rPr>
          <w:rFonts w:asciiTheme="majorHAnsi" w:hAnsiTheme="majorHAnsi"/>
          <w:bCs/>
          <w:sz w:val="18"/>
          <w:szCs w:val="18"/>
        </w:rPr>
        <w:tab/>
        <w:t xml:space="preserve"> </w:t>
      </w:r>
    </w:p>
    <w:p w:rsidR="000D6982" w:rsidRPr="00041A28" w:rsidRDefault="000D6982" w:rsidP="000D6982">
      <w:pPr>
        <w:pStyle w:val="Paragraph"/>
        <w:tabs>
          <w:tab w:val="left" w:pos="2520"/>
        </w:tabs>
        <w:ind w:firstLine="0"/>
        <w:jc w:val="both"/>
        <w:rPr>
          <w:rFonts w:asciiTheme="majorHAnsi" w:hAnsiTheme="majorHAnsi"/>
          <w:bCs/>
          <w:sz w:val="18"/>
          <w:szCs w:val="18"/>
        </w:rPr>
      </w:pP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 xml:space="preserve">Topic                       </w:t>
      </w:r>
      <w:proofErr w:type="gramStart"/>
      <w:r w:rsidRPr="00041A28">
        <w:rPr>
          <w:rFonts w:asciiTheme="majorHAnsi" w:hAnsiTheme="majorHAnsi"/>
          <w:b/>
          <w:bCs/>
          <w:sz w:val="18"/>
          <w:szCs w:val="18"/>
        </w:rPr>
        <w:t xml:space="preserve">  :</w:t>
      </w:r>
      <w:proofErr w:type="gramEnd"/>
      <w:r w:rsidRPr="00041A28">
        <w:rPr>
          <w:rFonts w:asciiTheme="majorHAnsi" w:hAnsiTheme="majorHAnsi"/>
          <w:b/>
          <w:bCs/>
          <w:sz w:val="18"/>
          <w:szCs w:val="18"/>
        </w:rPr>
        <w:tab/>
      </w:r>
      <w:r w:rsidR="00447448" w:rsidRPr="00447448">
        <w:rPr>
          <w:rFonts w:asciiTheme="majorHAnsi" w:hAnsiTheme="majorHAnsi"/>
          <w:sz w:val="18"/>
          <w:szCs w:val="18"/>
        </w:rPr>
        <w:t>Track 05: Tissue Science and Regenerative Medicine</w:t>
      </w:r>
    </w:p>
    <w:p w:rsidR="000D6982" w:rsidRPr="00041A28" w:rsidRDefault="000D6982" w:rsidP="000D6982">
      <w:pPr>
        <w:pStyle w:val="Paragraph"/>
        <w:tabs>
          <w:tab w:val="left" w:pos="2520"/>
        </w:tabs>
        <w:ind w:firstLine="0"/>
        <w:jc w:val="both"/>
        <w:rPr>
          <w:rFonts w:asciiTheme="majorHAnsi" w:hAnsiTheme="majorHAnsi"/>
          <w:sz w:val="18"/>
          <w:szCs w:val="18"/>
        </w:rPr>
      </w:pP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Corresponding Author Details:</w:t>
      </w:r>
      <w:r w:rsidRPr="00041A28">
        <w:rPr>
          <w:rFonts w:asciiTheme="majorHAnsi" w:hAnsiTheme="majorHAnsi"/>
          <w:sz w:val="18"/>
          <w:szCs w:val="18"/>
        </w:rPr>
        <w:tab/>
      </w:r>
      <w:proofErr w:type="spellStart"/>
      <w:r w:rsidR="00C63249">
        <w:rPr>
          <w:rFonts w:asciiTheme="majorHAnsi" w:hAnsiTheme="majorHAnsi"/>
          <w:sz w:val="18"/>
          <w:szCs w:val="18"/>
        </w:rPr>
        <w:t>Nikifor</w:t>
      </w:r>
      <w:proofErr w:type="spellEnd"/>
      <w:r w:rsidR="00C63249">
        <w:rPr>
          <w:rFonts w:asciiTheme="majorHAnsi" w:hAnsiTheme="majorHAnsi"/>
          <w:sz w:val="18"/>
          <w:szCs w:val="18"/>
        </w:rPr>
        <w:t xml:space="preserve"> </w:t>
      </w:r>
      <w:proofErr w:type="spellStart"/>
      <w:r w:rsidR="00C63249">
        <w:rPr>
          <w:rFonts w:asciiTheme="majorHAnsi" w:hAnsiTheme="majorHAnsi"/>
          <w:sz w:val="18"/>
          <w:szCs w:val="18"/>
        </w:rPr>
        <w:t>Asatiani</w:t>
      </w:r>
      <w:proofErr w:type="spellEnd"/>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sidR="00C63249">
        <w:rPr>
          <w:rFonts w:asciiTheme="majorHAnsi" w:hAnsiTheme="majorHAnsi"/>
          <w:sz w:val="18"/>
          <w:szCs w:val="18"/>
        </w:rPr>
        <w:t>nikifor.asatiani@tul.cz</w:t>
      </w:r>
    </w:p>
    <w:p w:rsidR="000D6982" w:rsidRPr="00041A28" w:rsidRDefault="000D6982" w:rsidP="000D6982">
      <w:pPr>
        <w:pStyle w:val="Paragraph"/>
        <w:tabs>
          <w:tab w:val="left" w:pos="2520"/>
        </w:tabs>
        <w:ind w:firstLine="0"/>
        <w:jc w:val="both"/>
        <w:rPr>
          <w:rFonts w:asciiTheme="majorHAnsi" w:hAnsiTheme="majorHAnsi"/>
          <w:sz w:val="18"/>
          <w:szCs w:val="18"/>
          <w:lang w:val="en-GB"/>
        </w:rPr>
      </w:pPr>
      <w:r w:rsidRPr="00041A28">
        <w:rPr>
          <w:rFonts w:asciiTheme="majorHAnsi" w:hAnsiTheme="majorHAnsi"/>
          <w:sz w:val="18"/>
          <w:szCs w:val="18"/>
        </w:rPr>
        <w:tab/>
        <w:t xml:space="preserve">         </w:t>
      </w:r>
      <w:r w:rsidR="00C63249" w:rsidRPr="00C63249">
        <w:rPr>
          <w:rFonts w:asciiTheme="majorHAnsi" w:hAnsiTheme="majorHAnsi"/>
          <w:sz w:val="18"/>
          <w:szCs w:val="18"/>
        </w:rPr>
        <w:t>Technical University of Liberec</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sidR="00C63249">
        <w:rPr>
          <w:rFonts w:asciiTheme="majorHAnsi" w:hAnsiTheme="majorHAnsi"/>
          <w:sz w:val="18"/>
          <w:szCs w:val="18"/>
        </w:rPr>
        <w:t>Liberec, Czech Republic</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sidR="00C63249">
        <w:rPr>
          <w:rFonts w:asciiTheme="majorHAnsi" w:hAnsiTheme="majorHAnsi"/>
          <w:sz w:val="18"/>
          <w:szCs w:val="18"/>
        </w:rPr>
        <w:t>(+420)777176544</w:t>
      </w:r>
    </w:p>
    <w:p w:rsidR="00AE3E37" w:rsidRPr="000D6982" w:rsidRDefault="00AE3E37">
      <w:pPr>
        <w:rPr>
          <w:rFonts w:asciiTheme="majorHAnsi" w:hAnsiTheme="majorHAnsi"/>
          <w:sz w:val="24"/>
        </w:rPr>
        <w:sectPr w:rsidR="00AE3E37" w:rsidRPr="000D6982">
          <w:type w:val="continuous"/>
          <w:pgSz w:w="11910" w:h="16840"/>
          <w:pgMar w:top="1740" w:right="600" w:bottom="840" w:left="620" w:header="720" w:footer="720" w:gutter="0"/>
          <w:cols w:space="720"/>
        </w:sectPr>
      </w:pPr>
    </w:p>
    <w:p w:rsidR="00A73B05" w:rsidRDefault="00A73B05">
      <w:pPr>
        <w:pStyle w:val="BodyText"/>
        <w:spacing w:before="3"/>
        <w:rPr>
          <w:rFonts w:asciiTheme="majorHAnsi" w:hAnsiTheme="majorHAnsi"/>
          <w:sz w:val="26"/>
        </w:rPr>
      </w:pPr>
    </w:p>
    <w:p w:rsidR="00A73B05" w:rsidRPr="00F234CD" w:rsidRDefault="00A73B05" w:rsidP="00F234CD">
      <w:pPr>
        <w:rPr>
          <w:rFonts w:asciiTheme="majorHAnsi" w:hAnsiTheme="majorHAnsi"/>
          <w:sz w:val="26"/>
          <w:szCs w:val="18"/>
        </w:rPr>
      </w:pPr>
    </w:p>
    <w:sectPr w:rsidR="00A73B05" w:rsidRPr="00F234C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5E8C" w:rsidRDefault="00335E8C">
      <w:r>
        <w:separator/>
      </w:r>
    </w:p>
  </w:endnote>
  <w:endnote w:type="continuationSeparator" w:id="0">
    <w:p w:rsidR="00335E8C" w:rsidRDefault="00335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A85A36C" wp14:editId="33DB28B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85A36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9B512EC" wp14:editId="32A3D4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512E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22B94C8" wp14:editId="6CF7A7F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B94C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5E8C" w:rsidRDefault="00335E8C">
      <w:r>
        <w:separator/>
      </w:r>
    </w:p>
  </w:footnote>
  <w:footnote w:type="continuationSeparator" w:id="0">
    <w:p w:rsidR="00335E8C" w:rsidRDefault="00335E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A217530" wp14:editId="00999AA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21753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FCF38A3" wp14:editId="6BBC86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F38A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1A28"/>
    <w:rsid w:val="000427D7"/>
    <w:rsid w:val="00082CE1"/>
    <w:rsid w:val="000A195E"/>
    <w:rsid w:val="000C56F8"/>
    <w:rsid w:val="000C7ACA"/>
    <w:rsid w:val="000D6982"/>
    <w:rsid w:val="000E2911"/>
    <w:rsid w:val="001263DF"/>
    <w:rsid w:val="00130376"/>
    <w:rsid w:val="0020083E"/>
    <w:rsid w:val="00292ED9"/>
    <w:rsid w:val="002E03FB"/>
    <w:rsid w:val="002F2107"/>
    <w:rsid w:val="00335E8C"/>
    <w:rsid w:val="00387931"/>
    <w:rsid w:val="003B4007"/>
    <w:rsid w:val="003F110C"/>
    <w:rsid w:val="00404E5B"/>
    <w:rsid w:val="00414F7B"/>
    <w:rsid w:val="004355DC"/>
    <w:rsid w:val="00447448"/>
    <w:rsid w:val="004749B4"/>
    <w:rsid w:val="004819C4"/>
    <w:rsid w:val="00494130"/>
    <w:rsid w:val="004F3523"/>
    <w:rsid w:val="0056129E"/>
    <w:rsid w:val="00595FDD"/>
    <w:rsid w:val="005973B9"/>
    <w:rsid w:val="005B3A56"/>
    <w:rsid w:val="005D6BE9"/>
    <w:rsid w:val="006060CE"/>
    <w:rsid w:val="0063497F"/>
    <w:rsid w:val="006C3678"/>
    <w:rsid w:val="0076601F"/>
    <w:rsid w:val="007B546D"/>
    <w:rsid w:val="007F7971"/>
    <w:rsid w:val="00873DF0"/>
    <w:rsid w:val="008756E6"/>
    <w:rsid w:val="009634C7"/>
    <w:rsid w:val="00994698"/>
    <w:rsid w:val="009B2D44"/>
    <w:rsid w:val="00A07E82"/>
    <w:rsid w:val="00A37F65"/>
    <w:rsid w:val="00A73B05"/>
    <w:rsid w:val="00A9710C"/>
    <w:rsid w:val="00AE3E37"/>
    <w:rsid w:val="00B21A57"/>
    <w:rsid w:val="00B735B9"/>
    <w:rsid w:val="00C33602"/>
    <w:rsid w:val="00C63249"/>
    <w:rsid w:val="00CD6F55"/>
    <w:rsid w:val="00DE1B2B"/>
    <w:rsid w:val="00DE3104"/>
    <w:rsid w:val="00E73CA0"/>
    <w:rsid w:val="00F234CD"/>
    <w:rsid w:val="00F337F2"/>
    <w:rsid w:val="00F62C72"/>
    <w:rsid w:val="00F72EEA"/>
    <w:rsid w:val="00F84CAE"/>
    <w:rsid w:val="00FE2B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6BA2FE"/>
  <w15:docId w15:val="{0407C5EA-D4A7-804D-9D2A-6278034D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C6324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semiHidden/>
    <w:rsid w:val="00C63249"/>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3623">
      <w:bodyDiv w:val="1"/>
      <w:marLeft w:val="0"/>
      <w:marRight w:val="0"/>
      <w:marTop w:val="0"/>
      <w:marBottom w:val="0"/>
      <w:divBdr>
        <w:top w:val="none" w:sz="0" w:space="0" w:color="auto"/>
        <w:left w:val="none" w:sz="0" w:space="0" w:color="auto"/>
        <w:bottom w:val="none" w:sz="0" w:space="0" w:color="auto"/>
        <w:right w:val="none" w:sz="0" w:space="0" w:color="auto"/>
      </w:divBdr>
    </w:div>
    <w:div w:id="29773131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7758045">
      <w:bodyDiv w:val="1"/>
      <w:marLeft w:val="0"/>
      <w:marRight w:val="0"/>
      <w:marTop w:val="0"/>
      <w:marBottom w:val="0"/>
      <w:divBdr>
        <w:top w:val="none" w:sz="0" w:space="0" w:color="auto"/>
        <w:left w:val="none" w:sz="0" w:space="0" w:color="auto"/>
        <w:bottom w:val="none" w:sz="0" w:space="0" w:color="auto"/>
        <w:right w:val="none" w:sz="0" w:space="0" w:color="auto"/>
      </w:divBdr>
    </w:div>
    <w:div w:id="113568142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45166301">
      <w:bodyDiv w:val="1"/>
      <w:marLeft w:val="0"/>
      <w:marRight w:val="0"/>
      <w:marTop w:val="0"/>
      <w:marBottom w:val="0"/>
      <w:divBdr>
        <w:top w:val="none" w:sz="0" w:space="0" w:color="auto"/>
        <w:left w:val="none" w:sz="0" w:space="0" w:color="auto"/>
        <w:bottom w:val="none" w:sz="0" w:space="0" w:color="auto"/>
        <w:right w:val="none" w:sz="0" w:space="0" w:color="auto"/>
      </w:divBdr>
      <w:divsChild>
        <w:div w:id="1043293290">
          <w:marLeft w:val="0"/>
          <w:marRight w:val="0"/>
          <w:marTop w:val="0"/>
          <w:marBottom w:val="0"/>
          <w:divBdr>
            <w:top w:val="none" w:sz="0" w:space="0" w:color="auto"/>
            <w:left w:val="none" w:sz="0" w:space="0" w:color="auto"/>
            <w:bottom w:val="none" w:sz="0" w:space="0" w:color="auto"/>
            <w:right w:val="none" w:sz="0" w:space="0" w:color="auto"/>
          </w:divBdr>
          <w:divsChild>
            <w:div w:id="377357280">
              <w:marLeft w:val="0"/>
              <w:marRight w:val="0"/>
              <w:marTop w:val="0"/>
              <w:marBottom w:val="0"/>
              <w:divBdr>
                <w:top w:val="none" w:sz="0" w:space="0" w:color="auto"/>
                <w:left w:val="none" w:sz="0" w:space="0" w:color="auto"/>
                <w:bottom w:val="none" w:sz="0" w:space="0" w:color="auto"/>
                <w:right w:val="none" w:sz="0" w:space="0" w:color="auto"/>
              </w:divBdr>
              <w:divsChild>
                <w:div w:id="32455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95759">
      <w:bodyDiv w:val="1"/>
      <w:marLeft w:val="0"/>
      <w:marRight w:val="0"/>
      <w:marTop w:val="0"/>
      <w:marBottom w:val="0"/>
      <w:divBdr>
        <w:top w:val="none" w:sz="0" w:space="0" w:color="auto"/>
        <w:left w:val="none" w:sz="0" w:space="0" w:color="auto"/>
        <w:bottom w:val="none" w:sz="0" w:space="0" w:color="auto"/>
        <w:right w:val="none" w:sz="0" w:space="0" w:color="auto"/>
      </w:divBdr>
    </w:div>
    <w:div w:id="2133591507">
      <w:bodyDiv w:val="1"/>
      <w:marLeft w:val="0"/>
      <w:marRight w:val="0"/>
      <w:marTop w:val="0"/>
      <w:marBottom w:val="0"/>
      <w:divBdr>
        <w:top w:val="none" w:sz="0" w:space="0" w:color="auto"/>
        <w:left w:val="none" w:sz="0" w:space="0" w:color="auto"/>
        <w:bottom w:val="none" w:sz="0" w:space="0" w:color="auto"/>
        <w:right w:val="none" w:sz="0" w:space="0" w:color="auto"/>
      </w:divBdr>
    </w:div>
    <w:div w:id="2141799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Nikifor Asatiani</cp:lastModifiedBy>
  <cp:revision>2</cp:revision>
  <dcterms:created xsi:type="dcterms:W3CDTF">2019-06-28T13:07:00Z</dcterms:created>
  <dcterms:modified xsi:type="dcterms:W3CDTF">2019-06-28T13:07:00Z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