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82" w:rsidRPr="000D6982" w:rsidRDefault="00D03DF5" w:rsidP="009F0B1D">
      <w:pPr>
        <w:pStyle w:val="Header"/>
        <w:spacing w:line="276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7</w:t>
      </w:r>
      <w:r w:rsidR="000D6982" w:rsidRPr="000D6982">
        <w:rPr>
          <w:rFonts w:asciiTheme="majorHAnsi" w:hAnsiTheme="majorHAnsi"/>
          <w:vertAlign w:val="superscript"/>
        </w:rPr>
        <w:t xml:space="preserve">th </w:t>
      </w:r>
      <w:r w:rsidR="000D6982"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Default="00D03DF5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September 25-26</w:t>
      </w:r>
      <w:r w:rsidR="000D6982" w:rsidRPr="000D6982">
        <w:rPr>
          <w:rFonts w:asciiTheme="majorHAnsi" w:hAnsiTheme="majorHAnsi"/>
        </w:rPr>
        <w:t>, 201</w:t>
      </w:r>
      <w:r>
        <w:rPr>
          <w:rFonts w:asciiTheme="majorHAnsi" w:hAnsiTheme="majorHAnsi"/>
        </w:rPr>
        <w:t>9</w:t>
      </w:r>
      <w:r w:rsidR="000D6982" w:rsidRPr="000D698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Copenhagen, Denmark</w:t>
      </w:r>
    </w:p>
    <w:p w:rsidR="00AE3E37" w:rsidRDefault="00D03DF5" w:rsidP="00494130">
      <w:pPr>
        <w:pStyle w:val="Heading1"/>
        <w:spacing w:before="170"/>
        <w:ind w:left="0"/>
        <w:rPr>
          <w:rFonts w:asciiTheme="majorHAnsi" w:hAnsiTheme="majorHAnsi"/>
          <w:color w:val="337AB7"/>
          <w:sz w:val="28"/>
          <w:szCs w:val="28"/>
        </w:rPr>
      </w:pPr>
      <w:r>
        <w:rPr>
          <w:rFonts w:asciiTheme="majorHAnsi" w:hAnsiTheme="majorHAnsi"/>
          <w:color w:val="337AB7"/>
          <w:sz w:val="28"/>
          <w:szCs w:val="28"/>
        </w:rPr>
        <w:t>Efficacy of Umbilical Cord Lining Mesenchymal Stem Cells for Wound Healing in Diabetic Swine Model</w:t>
      </w:r>
    </w:p>
    <w:p w:rsidR="000D6982" w:rsidRPr="00D03DF5" w:rsidRDefault="00D03DF5" w:rsidP="000D6982">
      <w:pPr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 xml:space="preserve">Lim F. P. </w:t>
      </w:r>
      <w:r w:rsidR="000D6982" w:rsidRPr="000D6982">
        <w:rPr>
          <w:rFonts w:asciiTheme="majorHAnsi" w:hAnsiTheme="majorHAnsi"/>
          <w:u w:val="single"/>
          <w:vertAlign w:val="superscript"/>
        </w:rPr>
        <w:t>a</w:t>
      </w:r>
      <w:r w:rsidR="000D6982" w:rsidRPr="000D6982">
        <w:rPr>
          <w:rFonts w:asciiTheme="majorHAnsi" w:hAnsiTheme="majorHAnsi"/>
        </w:rPr>
        <w:t xml:space="preserve">*, </w:t>
      </w:r>
      <w:r>
        <w:rPr>
          <w:rFonts w:asciiTheme="majorHAnsi" w:hAnsiTheme="majorHAnsi"/>
        </w:rPr>
        <w:t xml:space="preserve">Alvin W. C. Chua </w:t>
      </w:r>
      <w:r w:rsidR="000D6982" w:rsidRPr="000D6982">
        <w:rPr>
          <w:rFonts w:asciiTheme="majorHAnsi" w:hAnsiTheme="majorHAnsi"/>
          <w:vertAlign w:val="superscript"/>
        </w:rPr>
        <w:t>b</w:t>
      </w:r>
      <w:r>
        <w:rPr>
          <w:rFonts w:asciiTheme="majorHAnsi" w:hAnsiTheme="majorHAnsi"/>
        </w:rPr>
        <w:t>, Phan T.T.</w:t>
      </w:r>
    </w:p>
    <w:p w:rsidR="000D6982" w:rsidRPr="000D6982" w:rsidRDefault="000D6982" w:rsidP="000D6982">
      <w:pPr>
        <w:jc w:val="center"/>
        <w:rPr>
          <w:rFonts w:asciiTheme="majorHAnsi" w:hAnsiTheme="majorHAnsi"/>
        </w:rPr>
      </w:pPr>
    </w:p>
    <w:p w:rsid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a</w:t>
      </w:r>
      <w:r w:rsidRPr="00D03DF5">
        <w:rPr>
          <w:rFonts w:asciiTheme="majorHAnsi" w:hAnsiTheme="majorHAnsi" w:cs="Arial"/>
          <w:i/>
        </w:rPr>
        <w:t>Dept</w:t>
      </w:r>
      <w:proofErr w:type="spellEnd"/>
      <w:r w:rsidRPr="00D03DF5">
        <w:rPr>
          <w:rFonts w:asciiTheme="majorHAnsi" w:hAnsiTheme="majorHAnsi" w:cs="Arial"/>
          <w:i/>
        </w:rPr>
        <w:t xml:space="preserve"> of Surgery, Yong Loo Lin School of Medicine, National University of Singapore;</w:t>
      </w:r>
      <w:r>
        <w:rPr>
          <w:rFonts w:asciiTheme="majorHAnsi" w:hAnsiTheme="majorHAnsi" w:cs="Arial"/>
          <w:i/>
        </w:rPr>
        <w:t xml:space="preserve"> </w:t>
      </w:r>
      <w:r w:rsidRPr="00D03DF5">
        <w:rPr>
          <w:rFonts w:asciiTheme="majorHAnsi" w:hAnsiTheme="majorHAnsi" w:cs="Arial"/>
          <w:i/>
        </w:rPr>
        <w:t>Alice Lee Centre for Nursing Studies, National University of Singapore.</w:t>
      </w:r>
      <w:r>
        <w:rPr>
          <w:rFonts w:asciiTheme="majorHAnsi" w:hAnsiTheme="majorHAnsi" w:cs="Arial"/>
          <w:i/>
        </w:rPr>
        <w:t xml:space="preserve"> </w:t>
      </w:r>
    </w:p>
    <w:p w:rsid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b</w:t>
      </w:r>
      <w:r w:rsidRPr="00D03DF5">
        <w:rPr>
          <w:rFonts w:asciiTheme="majorHAnsi" w:hAnsiTheme="majorHAnsi" w:cs="Arial"/>
          <w:i/>
        </w:rPr>
        <w:t>Skin</w:t>
      </w:r>
      <w:proofErr w:type="spellEnd"/>
      <w:r w:rsidRPr="00D03DF5">
        <w:rPr>
          <w:rFonts w:asciiTheme="majorHAnsi" w:hAnsiTheme="majorHAnsi" w:cs="Arial"/>
          <w:i/>
        </w:rPr>
        <w:t xml:space="preserve"> Bank Unit, Plastic, Reconstructive &amp; Aesthetic Surgery, </w:t>
      </w:r>
      <w:r w:rsidRPr="00D03DF5">
        <w:rPr>
          <w:rFonts w:asciiTheme="majorHAnsi" w:hAnsiTheme="majorHAnsi" w:cs="Arial"/>
          <w:bCs/>
          <w:i/>
        </w:rPr>
        <w:t>Singapore General Hospital</w:t>
      </w:r>
      <w:r>
        <w:rPr>
          <w:rFonts w:asciiTheme="majorHAnsi" w:hAnsiTheme="majorHAnsi" w:cs="Arial"/>
          <w:bCs/>
          <w:i/>
        </w:rPr>
        <w:t xml:space="preserve">; </w:t>
      </w:r>
      <w:r w:rsidRPr="00D03DF5">
        <w:rPr>
          <w:rFonts w:asciiTheme="majorHAnsi" w:hAnsiTheme="majorHAnsi" w:cs="Arial"/>
          <w:i/>
        </w:rPr>
        <w:t>Transplant Tissue Centre</w:t>
      </w:r>
      <w:r w:rsidRPr="00D03DF5">
        <w:rPr>
          <w:rFonts w:asciiTheme="majorHAnsi" w:hAnsiTheme="majorHAnsi" w:cs="Arial"/>
          <w:b/>
          <w:bCs/>
          <w:i/>
        </w:rPr>
        <w:t xml:space="preserve">, </w:t>
      </w:r>
      <w:proofErr w:type="spellStart"/>
      <w:r w:rsidRPr="00D03DF5">
        <w:rPr>
          <w:rFonts w:asciiTheme="majorHAnsi" w:hAnsiTheme="majorHAnsi" w:cs="Arial"/>
          <w:bCs/>
          <w:i/>
        </w:rPr>
        <w:t>Singhealth</w:t>
      </w:r>
      <w:proofErr w:type="spellEnd"/>
      <w:r w:rsidRPr="00D03DF5">
        <w:rPr>
          <w:rFonts w:asciiTheme="majorHAnsi" w:hAnsiTheme="majorHAnsi" w:cs="Arial"/>
          <w:bCs/>
          <w:i/>
        </w:rPr>
        <w:t xml:space="preserve"> Transplant</w:t>
      </w:r>
      <w:r>
        <w:rPr>
          <w:rFonts w:asciiTheme="majorHAnsi" w:hAnsiTheme="majorHAnsi" w:cs="Arial"/>
          <w:bCs/>
          <w:i/>
        </w:rPr>
        <w:t xml:space="preserve">; </w:t>
      </w:r>
      <w:r w:rsidRPr="00D03DF5">
        <w:rPr>
          <w:rFonts w:asciiTheme="majorHAnsi" w:hAnsiTheme="majorHAnsi" w:cs="Arial"/>
          <w:bCs/>
          <w:i/>
        </w:rPr>
        <w:t>Duke</w:t>
      </w:r>
      <w:r w:rsidRPr="00D03DF5">
        <w:rPr>
          <w:rFonts w:asciiTheme="majorHAnsi" w:hAnsiTheme="majorHAnsi" w:cs="Arial"/>
          <w:i/>
        </w:rPr>
        <w:t>-</w:t>
      </w:r>
      <w:r w:rsidRPr="00D03DF5">
        <w:rPr>
          <w:rFonts w:asciiTheme="majorHAnsi" w:hAnsiTheme="majorHAnsi" w:cs="Arial"/>
          <w:bCs/>
          <w:i/>
        </w:rPr>
        <w:t>NUS</w:t>
      </w:r>
      <w:r w:rsidRPr="00D03DF5">
        <w:rPr>
          <w:rFonts w:asciiTheme="majorHAnsi" w:hAnsiTheme="majorHAnsi" w:cs="Arial"/>
          <w:i/>
        </w:rPr>
        <w:t xml:space="preserve"> Medical School</w:t>
      </w:r>
    </w:p>
    <w:p w:rsidR="00D03DF5" w:rsidRPr="00D03DF5" w:rsidRDefault="00D03DF5" w:rsidP="00D03DF5">
      <w:pPr>
        <w:rPr>
          <w:rFonts w:asciiTheme="majorHAnsi" w:hAnsiTheme="majorHAnsi" w:cs="Arial"/>
          <w:i/>
        </w:rPr>
      </w:pPr>
      <w:proofErr w:type="spellStart"/>
      <w:r w:rsidRPr="00D03DF5">
        <w:rPr>
          <w:rFonts w:asciiTheme="majorHAnsi" w:hAnsiTheme="majorHAnsi" w:cs="Arial"/>
          <w:i/>
          <w:vertAlign w:val="superscript"/>
        </w:rPr>
        <w:t>c</w:t>
      </w:r>
      <w:r w:rsidRPr="00D03DF5">
        <w:rPr>
          <w:rFonts w:asciiTheme="majorHAnsi" w:hAnsiTheme="majorHAnsi" w:cs="Arial"/>
          <w:i/>
        </w:rPr>
        <w:t>Dept</w:t>
      </w:r>
      <w:proofErr w:type="spellEnd"/>
      <w:r w:rsidRPr="00D03DF5">
        <w:rPr>
          <w:rFonts w:asciiTheme="majorHAnsi" w:hAnsiTheme="majorHAnsi" w:cs="Arial"/>
          <w:i/>
        </w:rPr>
        <w:t xml:space="preserve"> of Surgery, Yong Loo Lin School of Medicine, National University of Singapore; Cell Research Corporation Pte Ltd</w:t>
      </w:r>
    </w:p>
    <w:p w:rsidR="00D03DF5" w:rsidRPr="005E2CE5" w:rsidRDefault="00D03DF5" w:rsidP="00D03DF5">
      <w:pPr>
        <w:rPr>
          <w:rFonts w:ascii="Times New Roman" w:hAnsi="Times New Roman" w:cs="Times New Roman"/>
          <w:b/>
          <w:color w:val="548DD4" w:themeColor="text2" w:themeTint="99"/>
          <w:sz w:val="18"/>
          <w:szCs w:val="18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F0B1D" w:rsidRDefault="00A9710C" w:rsidP="009F0B1D">
      <w:pPr>
        <w:pStyle w:val="Heading3"/>
        <w:spacing w:before="147"/>
        <w:ind w:left="0"/>
        <w:jc w:val="both"/>
        <w:rPr>
          <w:rFonts w:asciiTheme="majorHAnsi" w:hAnsiTheme="majorHAnsi"/>
          <w:color w:val="BF5A14"/>
          <w:sz w:val="24"/>
        </w:rPr>
      </w:pPr>
      <w:r w:rsidRPr="009F0B1D">
        <w:rPr>
          <w:rFonts w:asciiTheme="majorHAnsi" w:hAnsiTheme="majorHAnsi"/>
          <w:color w:val="BF5A14"/>
          <w:sz w:val="24"/>
        </w:rPr>
        <w:t>Abstract</w:t>
      </w:r>
      <w:r w:rsidR="00404E5B" w:rsidRPr="009F0B1D">
        <w:rPr>
          <w:rFonts w:asciiTheme="majorHAnsi" w:hAnsiTheme="majorHAnsi"/>
          <w:color w:val="BF5A14"/>
          <w:sz w:val="24"/>
        </w:rPr>
        <w:t xml:space="preserve"> </w:t>
      </w:r>
    </w:p>
    <w:p w:rsidR="009F0B1D" w:rsidRPr="009F0B1D" w:rsidRDefault="009F0B1D" w:rsidP="009F0B1D">
      <w:pPr>
        <w:pStyle w:val="Heading3"/>
        <w:spacing w:before="147"/>
        <w:ind w:left="0"/>
        <w:jc w:val="both"/>
        <w:rPr>
          <w:rFonts w:asciiTheme="majorHAnsi" w:hAnsiTheme="majorHAnsi"/>
          <w:sz w:val="24"/>
        </w:rPr>
      </w:pPr>
    </w:p>
    <w:p w:rsidR="009F0B1D" w:rsidRPr="009F0B1D" w:rsidRDefault="009F0B1D" w:rsidP="009F0B1D">
      <w:pPr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Purpose</w:t>
      </w:r>
      <w:r w:rsidRPr="009F0B1D">
        <w:rPr>
          <w:rFonts w:asciiTheme="majorHAnsi" w:hAnsiTheme="majorHAnsi" w:cs="Times New Roman"/>
          <w:szCs w:val="18"/>
        </w:rPr>
        <w:t xml:space="preserve">: This study investigates the healing potential of Cord Lining Mesenchymal Stem Cells (CLMSC) in full-thickness dermal wound of </w:t>
      </w:r>
      <w:r w:rsidRPr="009F0B1D">
        <w:rPr>
          <w:rStyle w:val="st1"/>
          <w:rFonts w:asciiTheme="majorHAnsi" w:hAnsiTheme="majorHAnsi" w:cs="Times New Roman"/>
          <w:szCs w:val="18"/>
          <w:lang w:val="en-SG"/>
        </w:rPr>
        <w:t>Streptozotocin–induced diabetic pigs</w:t>
      </w:r>
      <w:r w:rsidRPr="009F0B1D">
        <w:rPr>
          <w:rFonts w:asciiTheme="majorHAnsi" w:hAnsiTheme="majorHAnsi" w:cs="Times New Roman"/>
          <w:szCs w:val="18"/>
        </w:rPr>
        <w:t xml:space="preserve">. </w:t>
      </w:r>
    </w:p>
    <w:p w:rsidR="009F0B1D" w:rsidRPr="009F0B1D" w:rsidRDefault="009F0B1D" w:rsidP="009F0B1D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Method</w:t>
      </w:r>
      <w:r w:rsidRPr="009F0B1D">
        <w:rPr>
          <w:rFonts w:asciiTheme="majorHAnsi" w:hAnsiTheme="majorHAnsi" w:cs="Times New Roman"/>
          <w:szCs w:val="18"/>
        </w:rPr>
        <w:t>: Six pigs were randomly assigned to 3 arms; the experiment groups received either (</w:t>
      </w:r>
      <w:proofErr w:type="spellStart"/>
      <w:r w:rsidRPr="009F0B1D">
        <w:rPr>
          <w:rFonts w:asciiTheme="majorHAnsi" w:hAnsiTheme="majorHAnsi" w:cs="Times New Roman"/>
          <w:szCs w:val="18"/>
        </w:rPr>
        <w:t>i</w:t>
      </w:r>
      <w:proofErr w:type="spellEnd"/>
      <w:r w:rsidRPr="009F0B1D">
        <w:rPr>
          <w:rFonts w:asciiTheme="majorHAnsi" w:hAnsiTheme="majorHAnsi" w:cs="Times New Roman"/>
          <w:szCs w:val="18"/>
        </w:rPr>
        <w:t>) CLMSC via intra-peritoneal (IP) injection or through (ii) topical application, while the control group received placebo treatment (sham media). Six full-thickness wounds, each sized 5cm X 5cm, were created along the back of the pigs. Wound area</w:t>
      </w:r>
      <w:r w:rsidR="00ED080E">
        <w:rPr>
          <w:rFonts w:asciiTheme="majorHAnsi" w:hAnsiTheme="majorHAnsi" w:cs="Times New Roman"/>
          <w:szCs w:val="18"/>
        </w:rPr>
        <w:t>s</w:t>
      </w:r>
      <w:r w:rsidRPr="009F0B1D">
        <w:rPr>
          <w:rFonts w:asciiTheme="majorHAnsi" w:hAnsiTheme="majorHAnsi" w:cs="Times New Roman"/>
          <w:szCs w:val="18"/>
        </w:rPr>
        <w:t xml:space="preserve"> were analy</w:t>
      </w:r>
      <w:r w:rsidR="00ED080E">
        <w:rPr>
          <w:rFonts w:asciiTheme="majorHAnsi" w:hAnsiTheme="majorHAnsi" w:cs="Times New Roman"/>
          <w:szCs w:val="18"/>
        </w:rPr>
        <w:t>z</w:t>
      </w:r>
      <w:r w:rsidRPr="009F0B1D">
        <w:rPr>
          <w:rFonts w:asciiTheme="majorHAnsi" w:hAnsiTheme="majorHAnsi" w:cs="Times New Roman"/>
          <w:szCs w:val="18"/>
        </w:rPr>
        <w:t xml:space="preserve">ed weekly with ImageJ TM software. Tissues were harvested every week for histological analysis and immune-profiling. </w:t>
      </w:r>
    </w:p>
    <w:p w:rsidR="009F0B1D" w:rsidRPr="009F0B1D" w:rsidRDefault="009F0B1D" w:rsidP="009F0B1D">
      <w:pPr>
        <w:jc w:val="both"/>
        <w:rPr>
          <w:rFonts w:asciiTheme="majorHAnsi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Result</w:t>
      </w:r>
      <w:r w:rsidRPr="009F0B1D">
        <w:rPr>
          <w:rFonts w:asciiTheme="majorHAnsi" w:hAnsiTheme="majorHAnsi" w:cs="Times New Roman"/>
          <w:szCs w:val="18"/>
        </w:rPr>
        <w:t xml:space="preserve">: The CLMSC-treated wounds, compared with the control group, showed a significant </w:t>
      </w:r>
      <w:r w:rsidRPr="009F0B1D">
        <w:rPr>
          <w:rFonts w:asciiTheme="majorHAnsi" w:hAnsiTheme="majorHAnsi" w:cs="Times New Roman"/>
          <w:szCs w:val="18"/>
          <w:u w:val="single"/>
        </w:rPr>
        <w:t>increase in the percentage of wound closure</w:t>
      </w:r>
      <w:r w:rsidRPr="009F0B1D">
        <w:rPr>
          <w:rFonts w:asciiTheme="majorHAnsi" w:hAnsiTheme="majorHAnsi" w:cs="Times New Roman"/>
          <w:szCs w:val="18"/>
        </w:rPr>
        <w:t xml:space="preserve"> from day 14 onwards and eventually achieved 100% closure of the wound sooner than the control group by an average of 10.5 days for CLMSC-IP injection and 8.1 days for CLMSC-topical application. The pigs treated with CLMSC have a </w:t>
      </w:r>
      <w:r w:rsidRPr="009F0B1D">
        <w:rPr>
          <w:rFonts w:asciiTheme="majorHAnsi" w:hAnsiTheme="majorHAnsi" w:cs="Times New Roman"/>
          <w:szCs w:val="18"/>
          <w:u w:val="single"/>
        </w:rPr>
        <w:t>shorter wound closure time</w:t>
      </w:r>
      <w:r w:rsidRPr="009F0B1D">
        <w:rPr>
          <w:rFonts w:asciiTheme="majorHAnsi" w:hAnsiTheme="majorHAnsi" w:cs="Times New Roman"/>
          <w:szCs w:val="18"/>
        </w:rPr>
        <w:t xml:space="preserve"> (mean closure day: 33.8 days for CLMSC-IP group; 36.2 days for CLMSC-topical group) as compared to the control group (mean closure day: 44.3 days). Our histology analysis revealed that the inflammatory cells resolved over time in CLMSC-treated group with decreasing amount from day 14 onwards, corresponding to decreasing wound sizes. Conversely, in control group, the inflammatory cells remain prominent throughout the healing time, with </w:t>
      </w:r>
      <w:r w:rsidRPr="009F0B1D">
        <w:rPr>
          <w:rFonts w:asciiTheme="majorHAnsi" w:hAnsiTheme="majorHAnsi" w:cs="Times New Roman"/>
          <w:bCs/>
          <w:szCs w:val="18"/>
        </w:rPr>
        <w:t>an upregulation of pro-inflammatory serum cytokines (TNF-alpha and IL-6) in control group.</w:t>
      </w:r>
    </w:p>
    <w:p w:rsidR="009F0B1D" w:rsidRPr="009F0B1D" w:rsidRDefault="009F0B1D" w:rsidP="009F0B1D">
      <w:pPr>
        <w:jc w:val="both"/>
        <w:rPr>
          <w:rFonts w:asciiTheme="majorHAnsi" w:eastAsia="Times New Roman" w:hAnsiTheme="majorHAnsi" w:cs="Times New Roman"/>
          <w:szCs w:val="18"/>
        </w:rPr>
      </w:pPr>
      <w:r w:rsidRPr="009F0B1D">
        <w:rPr>
          <w:rFonts w:asciiTheme="majorHAnsi" w:hAnsiTheme="majorHAnsi" w:cs="Times New Roman"/>
          <w:i/>
          <w:szCs w:val="18"/>
        </w:rPr>
        <w:t>Conclusion</w:t>
      </w:r>
      <w:r w:rsidRPr="009F0B1D">
        <w:rPr>
          <w:rFonts w:asciiTheme="majorHAnsi" w:hAnsiTheme="majorHAnsi" w:cs="Times New Roman"/>
          <w:szCs w:val="18"/>
        </w:rPr>
        <w:t xml:space="preserve">: Our preliminary findings are indicative of the positive effect of CLMSC on </w:t>
      </w:r>
      <w:r w:rsidRPr="009F0B1D">
        <w:rPr>
          <w:rFonts w:asciiTheme="majorHAnsi" w:eastAsia="Times New Roman" w:hAnsiTheme="majorHAnsi" w:cs="Times New Roman"/>
          <w:szCs w:val="18"/>
          <w:lang w:val="en-GB"/>
        </w:rPr>
        <w:t>diabetic wound healing</w:t>
      </w:r>
      <w:r w:rsidRPr="009F0B1D">
        <w:rPr>
          <w:rFonts w:asciiTheme="majorHAnsi" w:eastAsia="Times New Roman" w:hAnsiTheme="majorHAnsi" w:cs="Times New Roman"/>
          <w:szCs w:val="18"/>
        </w:rPr>
        <w:t>, with</w:t>
      </w:r>
      <w:r w:rsidRPr="009F0B1D">
        <w:rPr>
          <w:rFonts w:asciiTheme="majorHAnsi" w:hAnsiTheme="majorHAnsi" w:cs="Times New Roman"/>
          <w:szCs w:val="18"/>
        </w:rPr>
        <w:t xml:space="preserve"> the</w:t>
      </w:r>
      <w:r w:rsidRPr="009F0B1D">
        <w:rPr>
          <w:rFonts w:asciiTheme="majorHAnsi" w:hAnsiTheme="majorHAnsi" w:cs="Times New Roman"/>
          <w:bCs/>
          <w:szCs w:val="18"/>
        </w:rPr>
        <w:t xml:space="preserve"> </w:t>
      </w:r>
      <w:r w:rsidRPr="009F0B1D">
        <w:rPr>
          <w:rFonts w:asciiTheme="majorHAnsi" w:hAnsiTheme="majorHAnsi" w:cs="Times New Roman"/>
          <w:bCs/>
          <w:color w:val="000000"/>
          <w:szCs w:val="18"/>
        </w:rPr>
        <w:t>potential of CLMSC as an anti-inflammatory agent</w:t>
      </w:r>
      <w:r w:rsidRPr="009F0B1D">
        <w:rPr>
          <w:rFonts w:asciiTheme="majorHAnsi" w:hAnsiTheme="majorHAnsi" w:cs="Times New Roman"/>
          <w:color w:val="222222"/>
          <w:szCs w:val="18"/>
        </w:rPr>
        <w:t>.</w:t>
      </w:r>
    </w:p>
    <w:p w:rsidR="009F0B1D" w:rsidRDefault="009F0B1D" w:rsidP="009F0B1D">
      <w:pPr>
        <w:pStyle w:val="Heading3"/>
        <w:spacing w:before="74"/>
        <w:jc w:val="both"/>
        <w:rPr>
          <w:rFonts w:asciiTheme="majorHAnsi" w:hAnsiTheme="majorHAnsi"/>
          <w:b w:val="0"/>
        </w:rPr>
        <w:sectPr w:rsidR="009F0B1D" w:rsidSect="009F0B1D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9F0B1D" w:rsidRPr="000D6982" w:rsidRDefault="00A9710C" w:rsidP="009F0B1D">
      <w:pPr>
        <w:pStyle w:val="Heading3"/>
        <w:spacing w:before="74"/>
        <w:jc w:val="both"/>
        <w:rPr>
          <w:rFonts w:asciiTheme="majorHAnsi" w:hAnsiTheme="majorHAnsi"/>
          <w:b w:val="0"/>
          <w:color w:val="BF5A14"/>
        </w:rPr>
      </w:pPr>
      <w:r w:rsidRPr="000D6982">
        <w:rPr>
          <w:rFonts w:asciiTheme="majorHAnsi" w:hAnsiTheme="majorHAnsi"/>
          <w:b w:val="0"/>
        </w:rPr>
        <w:br w:type="column"/>
      </w:r>
      <w:r w:rsidR="009F0B1D" w:rsidRPr="000D6982">
        <w:rPr>
          <w:rFonts w:asciiTheme="majorHAnsi" w:hAnsiTheme="majorHAnsi"/>
          <w:b w:val="0"/>
          <w:color w:val="BF5A14"/>
        </w:rPr>
        <w:t xml:space="preserve"> </w:t>
      </w:r>
    </w:p>
    <w:p w:rsidR="00AE3E37" w:rsidRPr="000D6982" w:rsidRDefault="008756E6" w:rsidP="009F0B1D">
      <w:pPr>
        <w:spacing w:line="200" w:lineRule="exact"/>
        <w:jc w:val="both"/>
        <w:rPr>
          <w:rFonts w:asciiTheme="majorHAnsi" w:hAnsiTheme="majorHAnsi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D6982">
        <w:rPr>
          <w:rFonts w:asciiTheme="majorHAnsi" w:hAnsiTheme="majorHAnsi"/>
        </w:rPr>
        <w:t xml:space="preserve">   </w:t>
      </w:r>
    </w:p>
    <w:p w:rsidR="00AE3E37" w:rsidRPr="000D6982" w:rsidRDefault="00AE3E37" w:rsidP="009F0B1D">
      <w:pPr>
        <w:pStyle w:val="BodyText"/>
        <w:jc w:val="both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SG" w:eastAsia="zh-CN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D63680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041A28" w:rsidRDefault="008756E6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 w:rsidRPr="000D6982">
        <w:rPr>
          <w:rFonts w:asciiTheme="majorHAnsi" w:hAnsiTheme="majorHAnsi"/>
          <w:noProof/>
        </w:rPr>
        <w:t xml:space="preserve">              </w:t>
      </w:r>
      <w:r w:rsidR="009F0B1D">
        <w:rPr>
          <w:rFonts w:ascii="Minion Pro"/>
          <w:noProof/>
          <w:sz w:val="26"/>
          <w:lang w:val="en-SG" w:eastAsia="zh-CN"/>
        </w:rPr>
        <w:drawing>
          <wp:inline distT="0" distB="0" distL="0" distR="0" wp14:anchorId="450EBF84" wp14:editId="61D5F68E">
            <wp:extent cx="809625" cy="970655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FP-pict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730" cy="102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B1D" w:rsidRDefault="009F0B1D" w:rsidP="009F0B1D">
      <w:pPr>
        <w:pStyle w:val="BodyText"/>
        <w:jc w:val="both"/>
        <w:rPr>
          <w:rFonts w:ascii="Arial" w:hAnsi="Arial" w:cs="Arial"/>
          <w:sz w:val="14"/>
          <w:szCs w:val="14"/>
        </w:rPr>
      </w:pPr>
      <w:r>
        <w:rPr>
          <w:rFonts w:asciiTheme="majorHAnsi" w:hAnsiTheme="majorHAnsi"/>
          <w:sz w:val="20"/>
        </w:rPr>
        <w:br/>
      </w:r>
      <w:r w:rsidRPr="009F0B1D">
        <w:rPr>
          <w:rFonts w:ascii="Arial" w:hAnsi="Arial" w:cs="Arial"/>
          <w:sz w:val="16"/>
          <w:szCs w:val="14"/>
        </w:rPr>
        <w:t xml:space="preserve">Lim Fui Ping is a senior lecturer at the Alice Lee Centre for Nursing Studies, National University of Singapore. She obtained her Master degree in Nursing at the University </w:t>
      </w:r>
      <w:proofErr w:type="gramStart"/>
      <w:r w:rsidRPr="009F0B1D">
        <w:rPr>
          <w:rFonts w:ascii="Arial" w:hAnsi="Arial" w:cs="Arial"/>
          <w:sz w:val="16"/>
          <w:szCs w:val="14"/>
        </w:rPr>
        <w:t>of</w:t>
      </w:r>
      <w:proofErr w:type="gramEnd"/>
      <w:r w:rsidRPr="009F0B1D">
        <w:rPr>
          <w:rFonts w:ascii="Arial" w:hAnsi="Arial" w:cs="Arial"/>
          <w:sz w:val="16"/>
          <w:szCs w:val="14"/>
        </w:rPr>
        <w:t xml:space="preserve"> Sydney, Australia and is presently pursuing her doctorate degree at Department of Surgery, Yong Loo Lin School of Medicine, National University of Singapore. She has a long-standing interest in translational research, and in the development of novel cell-based therapies to improve wound healing, with a particular focus on chronic and non-healing wounds</w:t>
      </w:r>
    </w:p>
    <w:p w:rsidR="009F0B1D" w:rsidRDefault="009F0B1D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:rsidR="000D6982" w:rsidRPr="009F0B1D" w:rsidRDefault="009F0B1D" w:rsidP="009F0B1D">
      <w:pPr>
        <w:pStyle w:val="BodyText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lastRenderedPageBreak/>
        <w:br/>
      </w:r>
      <w:r w:rsidR="000D6982" w:rsidRPr="00041A28">
        <w:rPr>
          <w:rFonts w:asciiTheme="majorHAnsi" w:hAnsiTheme="majorHAnsi"/>
          <w:b/>
        </w:rPr>
        <w:t>Keywords:</w:t>
      </w:r>
      <w:r w:rsidR="000D6982" w:rsidRPr="00041A2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Diabetic wound, Mesenchymal Stem Cells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</w:t>
      </w:r>
      <w:r w:rsidR="009F0B1D">
        <w:rPr>
          <w:rFonts w:asciiTheme="majorHAnsi" w:hAnsiTheme="majorHAnsi"/>
          <w:b/>
          <w:bCs/>
          <w:sz w:val="18"/>
          <w:szCs w:val="18"/>
        </w:rPr>
        <w:t xml:space="preserve">: </w:t>
      </w:r>
      <w:r w:rsidR="00A6124D">
        <w:rPr>
          <w:rFonts w:asciiTheme="majorHAnsi" w:hAnsiTheme="majorHAnsi"/>
          <w:bCs/>
          <w:sz w:val="18"/>
          <w:szCs w:val="18"/>
        </w:rPr>
        <w:t>Oral</w:t>
      </w:r>
      <w:bookmarkStart w:id="0" w:name="_GoBack"/>
      <w:bookmarkEnd w:id="0"/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Topic:</w:t>
      </w:r>
      <w:r w:rsidR="009F0B1D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9F0B1D" w:rsidRPr="009F0B1D">
        <w:rPr>
          <w:rFonts w:asciiTheme="majorHAnsi" w:hAnsiTheme="majorHAnsi"/>
          <w:bCs/>
          <w:sz w:val="18"/>
          <w:szCs w:val="18"/>
        </w:rPr>
        <w:t>Stem Cells and Tissue Regeneration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="009F0B1D">
        <w:rPr>
          <w:rFonts w:asciiTheme="majorHAnsi" w:hAnsiTheme="majorHAnsi"/>
          <w:sz w:val="18"/>
          <w:szCs w:val="18"/>
        </w:rPr>
        <w:t xml:space="preserve"> Lim Fui Ping</w:t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fuiping@nus.edu.sg</w:t>
      </w: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</w:r>
      <w:r w:rsidR="009F0B1D">
        <w:rPr>
          <w:rFonts w:asciiTheme="majorHAnsi" w:hAnsiTheme="majorHAnsi"/>
          <w:sz w:val="18"/>
          <w:szCs w:val="18"/>
        </w:rPr>
        <w:t>Alice Lee Centre for Nursing Studies, National University of Singapore</w:t>
      </w:r>
    </w:p>
    <w:p w:rsidR="009F0B1D" w:rsidRPr="00041A28" w:rsidRDefault="009F0B1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Singapore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</w:r>
      <w:r w:rsidR="009F0B1D">
        <w:rPr>
          <w:rFonts w:asciiTheme="majorHAnsi" w:hAnsiTheme="majorHAnsi"/>
          <w:sz w:val="18"/>
          <w:szCs w:val="18"/>
        </w:rPr>
        <w:t>65-90306674</w:t>
      </w:r>
      <w:r w:rsidRPr="00041A28">
        <w:rPr>
          <w:rFonts w:asciiTheme="majorHAnsi" w:hAnsiTheme="majorHAnsi"/>
          <w:sz w:val="18"/>
          <w:szCs w:val="18"/>
        </w:rPr>
        <w:t xml:space="preserve">  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p w:rsidR="00D03DF5" w:rsidRDefault="00D03DF5">
      <w:pPr>
        <w:pStyle w:val="BodyText"/>
        <w:spacing w:before="3"/>
        <w:rPr>
          <w:rFonts w:asciiTheme="majorHAnsi" w:hAnsiTheme="majorHAnsi"/>
          <w:sz w:val="26"/>
        </w:rPr>
      </w:pPr>
    </w:p>
    <w:sectPr w:rsidR="00D03DF5" w:rsidSect="009F0B1D">
      <w:type w:val="continuous"/>
      <w:pgSz w:w="1191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48E" w:rsidRDefault="00A0148E">
      <w:r>
        <w:separator/>
      </w:r>
    </w:p>
  </w:endnote>
  <w:endnote w:type="continuationSeparator" w:id="0">
    <w:p w:rsidR="00A0148E" w:rsidRDefault="00A0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48E" w:rsidRDefault="00A0148E">
      <w:r>
        <w:separator/>
      </w:r>
    </w:p>
  </w:footnote>
  <w:footnote w:type="continuationSeparator" w:id="0">
    <w:p w:rsidR="00A0148E" w:rsidRDefault="00A01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1A28"/>
    <w:rsid w:val="000A195E"/>
    <w:rsid w:val="000B53E5"/>
    <w:rsid w:val="000C56F8"/>
    <w:rsid w:val="000D6982"/>
    <w:rsid w:val="000E2911"/>
    <w:rsid w:val="001263DF"/>
    <w:rsid w:val="00292ED9"/>
    <w:rsid w:val="003B400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634C7"/>
    <w:rsid w:val="009B2D44"/>
    <w:rsid w:val="009F0B1D"/>
    <w:rsid w:val="00A0148E"/>
    <w:rsid w:val="00A07E82"/>
    <w:rsid w:val="00A6124D"/>
    <w:rsid w:val="00A9710C"/>
    <w:rsid w:val="00AE3E37"/>
    <w:rsid w:val="00B21A57"/>
    <w:rsid w:val="00C33602"/>
    <w:rsid w:val="00CD6F55"/>
    <w:rsid w:val="00D03DF5"/>
    <w:rsid w:val="00D75CB9"/>
    <w:rsid w:val="00DE3104"/>
    <w:rsid w:val="00ED080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EBFCF"/>
  <w15:docId w15:val="{38001B61-3F27-45F8-B7AE-895814BA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D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1">
    <w:name w:val="st1"/>
    <w:basedOn w:val="DefaultParagraphFont"/>
    <w:rsid w:val="00D03DF5"/>
  </w:style>
  <w:style w:type="character" w:customStyle="1" w:styleId="Heading4Char">
    <w:name w:val="Heading 4 Char"/>
    <w:basedOn w:val="DefaultParagraphFont"/>
    <w:link w:val="Heading4"/>
    <w:uiPriority w:val="9"/>
    <w:semiHidden/>
    <w:rsid w:val="00D03DF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8435">
          <w:marLeft w:val="0"/>
          <w:marRight w:val="0"/>
          <w:marTop w:val="0"/>
          <w:marBottom w:val="450"/>
          <w:divBdr>
            <w:top w:val="single" w:sz="6" w:space="8" w:color="E6DDDB"/>
            <w:left w:val="none" w:sz="0" w:space="0" w:color="auto"/>
            <w:bottom w:val="single" w:sz="6" w:space="8" w:color="E6DDDB"/>
            <w:right w:val="none" w:sz="0" w:space="0" w:color="auto"/>
          </w:divBdr>
          <w:divsChild>
            <w:div w:id="1266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NUS</cp:lastModifiedBy>
  <cp:revision>2</cp:revision>
  <dcterms:created xsi:type="dcterms:W3CDTF">2019-03-30T02:50:00Z</dcterms:created>
  <dcterms:modified xsi:type="dcterms:W3CDTF">2019-03-30T02:50:00Z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