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91527A" w:rsidRDefault="000950F1" w:rsidP="00494130">
      <w:pPr>
        <w:pStyle w:val="1"/>
        <w:spacing w:before="170"/>
        <w:ind w:left="0"/>
        <w:rPr>
          <w:rFonts w:eastAsiaTheme="minorEastAsia"/>
          <w:lang w:eastAsia="ko-KR"/>
        </w:rPr>
      </w:pPr>
      <w:r w:rsidRPr="000950F1">
        <w:rPr>
          <w:rFonts w:eastAsiaTheme="minorEastAsia" w:hint="eastAsia"/>
          <w:lang w:eastAsia="ko-KR"/>
        </w:rPr>
        <w:t>In vitro analysis of the a</w:t>
      </w:r>
      <w:r w:rsidRPr="000950F1">
        <w:rPr>
          <w:rFonts w:eastAsiaTheme="minorEastAsia"/>
          <w:lang w:eastAsia="ko-KR"/>
        </w:rPr>
        <w:t>ntibacterial effect of</w:t>
      </w:r>
      <w:proofErr w:type="gramStart"/>
      <w:r w:rsidRPr="000950F1">
        <w:rPr>
          <w:rFonts w:eastAsiaTheme="minorEastAsia"/>
          <w:lang w:eastAsia="ko-KR"/>
        </w:rPr>
        <w:t>  the</w:t>
      </w:r>
      <w:proofErr w:type="gramEnd"/>
      <w:r w:rsidRPr="000950F1">
        <w:rPr>
          <w:rFonts w:eastAsiaTheme="minorEastAsia"/>
          <w:lang w:eastAsia="ko-KR"/>
        </w:rPr>
        <w:t> </w:t>
      </w:r>
      <w:r w:rsidRPr="000950F1">
        <w:rPr>
          <w:rFonts w:eastAsiaTheme="minorEastAsia" w:hint="eastAsia"/>
          <w:lang w:eastAsia="ko-KR"/>
        </w:rPr>
        <w:t>silver-coated NPWT system</w:t>
      </w:r>
    </w:p>
    <w:p w:rsidR="004B588F" w:rsidRPr="004B588F" w:rsidRDefault="00EB2F76" w:rsidP="004B588F">
      <w:pPr>
        <w:pStyle w:val="a3"/>
        <w:spacing w:before="73" w:line="198" w:lineRule="exact"/>
        <w:ind w:left="100" w:right="5987"/>
        <w:rPr>
          <w:rFonts w:ascii="Arial" w:eastAsiaTheme="minorEastAsia"/>
          <w:lang w:eastAsia="ko-KR"/>
        </w:rPr>
      </w:pPr>
      <w:proofErr w:type="spellStart"/>
      <w:r>
        <w:rPr>
          <w:rFonts w:ascii="Arial" w:eastAsiaTheme="minorEastAsia" w:hint="eastAsia"/>
          <w:lang w:eastAsia="ko-KR"/>
        </w:rPr>
        <w:t>Eun</w:t>
      </w:r>
      <w:proofErr w:type="spellEnd"/>
      <w:r>
        <w:rPr>
          <w:rFonts w:ascii="Arial" w:eastAsiaTheme="minorEastAsia" w:hint="eastAsia"/>
          <w:lang w:eastAsia="ko-KR"/>
        </w:rPr>
        <w:t xml:space="preserve"> </w:t>
      </w:r>
      <w:proofErr w:type="spellStart"/>
      <w:r w:rsidR="004B588F">
        <w:rPr>
          <w:rFonts w:ascii="Arial" w:eastAsiaTheme="minorEastAsia" w:hint="eastAsia"/>
          <w:lang w:eastAsia="ko-KR"/>
        </w:rPr>
        <w:t>hee</w:t>
      </w:r>
      <w:proofErr w:type="spellEnd"/>
      <w:r w:rsidR="004B588F">
        <w:rPr>
          <w:rFonts w:ascii="Arial" w:eastAsiaTheme="minorEastAsia" w:hint="eastAsia"/>
          <w:lang w:eastAsia="ko-KR"/>
        </w:rPr>
        <w:t xml:space="preserve"> Han, </w:t>
      </w:r>
      <w:proofErr w:type="gramStart"/>
      <w:r w:rsidR="004B588F" w:rsidRPr="004B588F">
        <w:rPr>
          <w:rFonts w:ascii="Arial" w:eastAsiaTheme="minorEastAsia" w:hint="eastAsia"/>
          <w:lang w:eastAsia="ko-KR"/>
        </w:rPr>
        <w:t>researche</w:t>
      </w:r>
      <w:r w:rsidR="004B588F">
        <w:rPr>
          <w:rFonts w:ascii="Arial" w:eastAsiaTheme="minorEastAsia" w:hint="eastAsia"/>
          <w:lang w:eastAsia="ko-KR"/>
        </w:rPr>
        <w:t>r ,</w:t>
      </w:r>
      <w:proofErr w:type="gramEnd"/>
      <w:r w:rsidR="004B588F" w:rsidRPr="00BB4060">
        <w:rPr>
          <w:rFonts w:ascii="Arial"/>
        </w:rPr>
        <w:t xml:space="preserve"> </w:t>
      </w:r>
      <w:proofErr w:type="spellStart"/>
      <w:r w:rsidR="004B588F" w:rsidRPr="0091527A">
        <w:rPr>
          <w:rFonts w:ascii="Arial"/>
        </w:rPr>
        <w:t>Ajou</w:t>
      </w:r>
      <w:proofErr w:type="spellEnd"/>
      <w:r w:rsidR="004B588F" w:rsidRPr="0091527A">
        <w:rPr>
          <w:rFonts w:ascii="Arial"/>
        </w:rPr>
        <w:t xml:space="preserve"> University Hospital</w:t>
      </w:r>
      <w:r w:rsidR="004B588F">
        <w:rPr>
          <w:rFonts w:ascii="Arial"/>
        </w:rPr>
        <w:t>,</w:t>
      </w:r>
      <w:r w:rsidR="004B588F">
        <w:rPr>
          <w:rFonts w:ascii="Arial" w:eastAsiaTheme="minorEastAsia" w:hint="eastAsia"/>
          <w:lang w:eastAsia="ko-KR"/>
        </w:rPr>
        <w:t xml:space="preserve"> KOREA</w:t>
      </w:r>
    </w:p>
    <w:p w:rsidR="0091527A" w:rsidRPr="0091527A" w:rsidRDefault="0091527A" w:rsidP="005973B9">
      <w:pPr>
        <w:pStyle w:val="a3"/>
        <w:spacing w:before="73" w:line="198" w:lineRule="exact"/>
        <w:ind w:left="100" w:right="5987"/>
        <w:rPr>
          <w:rFonts w:ascii="Arial" w:eastAsiaTheme="minorEastAsia"/>
          <w:lang w:eastAsia="ko-KR"/>
        </w:rPr>
      </w:pPr>
      <w:r w:rsidRPr="0091527A">
        <w:rPr>
          <w:rFonts w:ascii="Arial"/>
        </w:rPr>
        <w:t>Bo Young Park</w:t>
      </w:r>
      <w:r w:rsidR="005973B9">
        <w:rPr>
          <w:rFonts w:ascii="Arial"/>
        </w:rPr>
        <w:t xml:space="preserve">, </w:t>
      </w:r>
      <w:r>
        <w:rPr>
          <w:rFonts w:ascii="Arial" w:eastAsiaTheme="minorEastAsia" w:hint="eastAsia"/>
          <w:lang w:eastAsia="ko-KR"/>
        </w:rPr>
        <w:t>MD</w:t>
      </w:r>
      <w:r w:rsidR="005973B9">
        <w:rPr>
          <w:rFonts w:ascii="Arial"/>
        </w:rPr>
        <w:t xml:space="preserve">, </w:t>
      </w:r>
      <w:proofErr w:type="spellStart"/>
      <w:r w:rsidRPr="0091527A">
        <w:rPr>
          <w:rFonts w:ascii="Arial"/>
        </w:rPr>
        <w:t>Ewha</w:t>
      </w:r>
      <w:proofErr w:type="spellEnd"/>
      <w:r w:rsidRPr="0091527A">
        <w:rPr>
          <w:rFonts w:ascii="Arial"/>
        </w:rPr>
        <w:t xml:space="preserve"> </w:t>
      </w:r>
      <w:proofErr w:type="spellStart"/>
      <w:r w:rsidRPr="0091527A">
        <w:rPr>
          <w:rFonts w:ascii="Arial"/>
        </w:rPr>
        <w:t>Mockdong</w:t>
      </w:r>
      <w:proofErr w:type="spellEnd"/>
      <w:r w:rsidRPr="0091527A">
        <w:rPr>
          <w:rFonts w:ascii="Arial"/>
        </w:rPr>
        <w:t xml:space="preserve"> hospital</w:t>
      </w:r>
      <w:r w:rsidR="005973B9">
        <w:rPr>
          <w:rFonts w:ascii="Arial"/>
        </w:rPr>
        <w:t>,</w:t>
      </w:r>
      <w:r>
        <w:rPr>
          <w:rFonts w:ascii="Arial" w:eastAsiaTheme="minorEastAsia" w:hint="eastAsia"/>
          <w:lang w:eastAsia="ko-KR"/>
        </w:rPr>
        <w:t xml:space="preserve"> KOREA</w:t>
      </w:r>
    </w:p>
    <w:p w:rsidR="004B588F" w:rsidRPr="004B588F" w:rsidRDefault="004B588F" w:rsidP="004B588F">
      <w:pPr>
        <w:pStyle w:val="a3"/>
        <w:spacing w:before="73" w:line="198" w:lineRule="exact"/>
        <w:ind w:left="100" w:right="5987"/>
        <w:rPr>
          <w:rFonts w:ascii="Arial" w:eastAsiaTheme="minorEastAsia"/>
          <w:lang w:eastAsia="ko-KR"/>
        </w:rPr>
      </w:pPr>
      <w:proofErr w:type="spellStart"/>
      <w:r w:rsidRPr="004B588F">
        <w:rPr>
          <w:rFonts w:ascii="Arial" w:eastAsiaTheme="minorEastAsia"/>
          <w:lang w:eastAsia="ko-KR"/>
        </w:rPr>
        <w:t>Hyung</w:t>
      </w:r>
      <w:proofErr w:type="spellEnd"/>
      <w:r w:rsidRPr="004B588F">
        <w:rPr>
          <w:rFonts w:ascii="Arial" w:eastAsiaTheme="minorEastAsia"/>
          <w:lang w:eastAsia="ko-KR"/>
        </w:rPr>
        <w:t xml:space="preserve"> Min Hahn</w:t>
      </w:r>
      <w:r>
        <w:rPr>
          <w:rFonts w:ascii="Arial" w:eastAsiaTheme="minorEastAsia" w:hint="eastAsia"/>
          <w:lang w:eastAsia="ko-KR"/>
        </w:rPr>
        <w:t>,</w:t>
      </w:r>
      <w:r w:rsidRPr="004B588F">
        <w:rPr>
          <w:rFonts w:ascii="Arial" w:eastAsiaTheme="minorEastAsia" w:hint="eastAsia"/>
          <w:lang w:eastAsia="ko-KR"/>
        </w:rPr>
        <w:t xml:space="preserve"> </w:t>
      </w:r>
      <w:r>
        <w:rPr>
          <w:rFonts w:ascii="Arial" w:eastAsiaTheme="minorEastAsia" w:hint="eastAsia"/>
          <w:lang w:eastAsia="ko-KR"/>
        </w:rPr>
        <w:t>MD</w:t>
      </w:r>
      <w:r>
        <w:rPr>
          <w:rFonts w:ascii="Arial"/>
        </w:rPr>
        <w:t xml:space="preserve">, </w:t>
      </w:r>
      <w:proofErr w:type="spellStart"/>
      <w:r w:rsidRPr="0091527A">
        <w:rPr>
          <w:rFonts w:ascii="Arial"/>
        </w:rPr>
        <w:t>Ajou</w:t>
      </w:r>
      <w:proofErr w:type="spellEnd"/>
      <w:r w:rsidRPr="0091527A">
        <w:rPr>
          <w:rFonts w:ascii="Arial"/>
        </w:rPr>
        <w:t xml:space="preserve"> University Hospital</w:t>
      </w:r>
      <w:r>
        <w:rPr>
          <w:rFonts w:ascii="Arial"/>
        </w:rPr>
        <w:t xml:space="preserve">, </w:t>
      </w:r>
      <w:r>
        <w:rPr>
          <w:rFonts w:ascii="Arial" w:eastAsiaTheme="minorEastAsia" w:hint="eastAsia"/>
          <w:lang w:eastAsia="ko-KR"/>
        </w:rPr>
        <w:t>KOREA</w:t>
      </w:r>
    </w:p>
    <w:p w:rsidR="005973B9" w:rsidRDefault="0091527A" w:rsidP="004B588F">
      <w:pPr>
        <w:pStyle w:val="a3"/>
        <w:spacing w:before="73" w:line="198" w:lineRule="exact"/>
        <w:ind w:right="5987" w:firstLineChars="50" w:firstLine="90"/>
        <w:rPr>
          <w:rFonts w:ascii="Arial" w:eastAsiaTheme="minorEastAsia"/>
          <w:lang w:eastAsia="ko-KR"/>
        </w:rPr>
      </w:pPr>
      <w:proofErr w:type="gramStart"/>
      <w:r w:rsidRPr="0091527A">
        <w:rPr>
          <w:rFonts w:ascii="Arial"/>
        </w:rPr>
        <w:t>Il</w:t>
      </w:r>
      <w:proofErr w:type="gramEnd"/>
      <w:r w:rsidRPr="0091527A">
        <w:rPr>
          <w:rFonts w:ascii="Arial"/>
        </w:rPr>
        <w:t xml:space="preserve"> Jae Lee</w:t>
      </w:r>
      <w:r w:rsidR="005973B9">
        <w:rPr>
          <w:rFonts w:ascii="Arial"/>
        </w:rPr>
        <w:t>,</w:t>
      </w:r>
      <w:r w:rsidR="00BB4060">
        <w:rPr>
          <w:rFonts w:ascii="Arial" w:eastAsiaTheme="minorEastAsia" w:hint="eastAsia"/>
          <w:lang w:eastAsia="ko-KR"/>
        </w:rPr>
        <w:t xml:space="preserve"> </w:t>
      </w:r>
      <w:r>
        <w:rPr>
          <w:rFonts w:ascii="Arial" w:eastAsiaTheme="minorEastAsia" w:hint="eastAsia"/>
          <w:lang w:eastAsia="ko-KR"/>
        </w:rPr>
        <w:t>MD</w:t>
      </w:r>
      <w:r w:rsidR="005973B9">
        <w:rPr>
          <w:rFonts w:ascii="Arial"/>
        </w:rPr>
        <w:t xml:space="preserve">, </w:t>
      </w:r>
      <w:proofErr w:type="spellStart"/>
      <w:r w:rsidRPr="0091527A">
        <w:rPr>
          <w:rFonts w:ascii="Arial"/>
        </w:rPr>
        <w:t>Ajou</w:t>
      </w:r>
      <w:proofErr w:type="spellEnd"/>
      <w:r w:rsidRPr="0091527A">
        <w:rPr>
          <w:rFonts w:ascii="Arial"/>
        </w:rPr>
        <w:t xml:space="preserve"> University Hospital</w:t>
      </w:r>
      <w:r w:rsidR="005973B9">
        <w:rPr>
          <w:rFonts w:ascii="Arial"/>
        </w:rPr>
        <w:t xml:space="preserve">, </w:t>
      </w:r>
      <w:r>
        <w:rPr>
          <w:rFonts w:ascii="Arial" w:eastAsiaTheme="minorEastAsia" w:hint="eastAsia"/>
          <w:lang w:eastAsia="ko-KR"/>
        </w:rPr>
        <w:t>KOREA</w:t>
      </w:r>
    </w:p>
    <w:p w:rsidR="00AE3E37" w:rsidRPr="0091527A" w:rsidRDefault="00AE3E37">
      <w:pPr>
        <w:pStyle w:val="a3"/>
        <w:rPr>
          <w:rFonts w:ascii="Arial" w:eastAsiaTheme="minorEastAsia"/>
          <w:sz w:val="20"/>
          <w:lang w:eastAsia="ko-KR"/>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C3A0A" w:rsidRPr="000950F1" w:rsidRDefault="00A9710C" w:rsidP="000950F1">
      <w:pPr>
        <w:pStyle w:val="3"/>
        <w:spacing w:before="147"/>
        <w:jc w:val="both"/>
      </w:pPr>
      <w:r>
        <w:rPr>
          <w:color w:val="BF5A14"/>
        </w:rPr>
        <w:lastRenderedPageBreak/>
        <w:t>Abstract</w:t>
      </w:r>
      <w:r w:rsidR="00404E5B">
        <w:rPr>
          <w:color w:val="BF5A14"/>
        </w:rPr>
        <w:t xml:space="preserve"> (300 word limit)</w:t>
      </w:r>
    </w:p>
    <w:p w:rsidR="000950F1" w:rsidRPr="000950F1" w:rsidRDefault="000950F1" w:rsidP="000950F1">
      <w:pPr>
        <w:pStyle w:val="MS"/>
        <w:rPr>
          <w:rFonts w:ascii="Tw Cen MT" w:eastAsia="굴림체" w:hAnsi="Tw Cen MT"/>
          <w:sz w:val="18"/>
          <w:szCs w:val="18"/>
        </w:rPr>
      </w:pPr>
      <w:r w:rsidRPr="000950F1">
        <w:rPr>
          <w:rFonts w:ascii="Tw Cen MT" w:eastAsia="굴림체" w:hAnsi="Tw Cen MT"/>
          <w:sz w:val="18"/>
          <w:szCs w:val="18"/>
        </w:rPr>
        <w:t>Background: Post-traumatic skin and soft tissue injury is prone to infection, the risk of amputation increases when it spreads to deep tissue infection. The recently used negative pressure wound therapy (NPWT) improves the outcome of traumatic wound healing but limits the treatment of infected wounds. Therefore, the development of NPWT with anti-bacterial function is required for the care of infected skin and soft tissue wounds. Silver is a substance that has antimicrobial function without damaging human tissue. In this study, we tested the in vitro antimicrobial activity of the silver-coated NPWT system.</w:t>
      </w:r>
    </w:p>
    <w:p w:rsidR="000950F1" w:rsidRPr="000950F1" w:rsidRDefault="000950F1" w:rsidP="000950F1">
      <w:pPr>
        <w:pStyle w:val="MS"/>
        <w:rPr>
          <w:rFonts w:ascii="Tw Cen MT" w:eastAsia="굴림체" w:hAnsi="Tw Cen MT"/>
          <w:sz w:val="18"/>
          <w:szCs w:val="18"/>
        </w:rPr>
      </w:pPr>
      <w:r w:rsidRPr="000950F1">
        <w:rPr>
          <w:rFonts w:ascii="Tw Cen MT" w:eastAsia="굴림체" w:hAnsi="Tw Cen MT"/>
          <w:sz w:val="18"/>
          <w:szCs w:val="18"/>
        </w:rPr>
        <w:t xml:space="preserve">Methods: Bacteria strains, common pathogens of traumatic wound infections, were inoculated on agar plates. And then, the original or silver-coated foam or NPWT system was placed on bacterial inoculated agar plates. We measured the colony counts and compared the counts in the original and silver-coated foam or NPWT system for each bacteria strain, respectively. </w:t>
      </w:r>
    </w:p>
    <w:p w:rsidR="000950F1" w:rsidRPr="000950F1" w:rsidRDefault="000950F1" w:rsidP="000950F1">
      <w:pPr>
        <w:pStyle w:val="MS"/>
        <w:rPr>
          <w:rFonts w:ascii="Tw Cen MT" w:eastAsia="굴림체" w:hAnsi="Tw Cen MT"/>
          <w:sz w:val="18"/>
          <w:szCs w:val="18"/>
        </w:rPr>
      </w:pPr>
      <w:r w:rsidRPr="000950F1">
        <w:rPr>
          <w:rFonts w:ascii="Tw Cen MT" w:eastAsia="굴림체" w:hAnsi="Tw Cen MT"/>
          <w:sz w:val="18"/>
          <w:szCs w:val="18"/>
        </w:rPr>
        <w:t>Results: The count of colony in conventional foam was 60 for E</w:t>
      </w:r>
      <w:r w:rsidRPr="000950F1">
        <w:rPr>
          <w:rFonts w:ascii="Tw Cen MT" w:eastAsia="굴림체" w:hAnsi="Tw Cen MT"/>
          <w:i/>
          <w:iCs/>
          <w:sz w:val="18"/>
          <w:szCs w:val="18"/>
        </w:rPr>
        <w:t>scherichia coli,</w:t>
      </w:r>
      <w:r w:rsidRPr="000950F1">
        <w:rPr>
          <w:rFonts w:ascii="Tw Cen MT" w:eastAsia="굴림체" w:hAnsi="Tw Cen MT"/>
          <w:sz w:val="18"/>
          <w:szCs w:val="18"/>
        </w:rPr>
        <w:t xml:space="preserve"> 101 for </w:t>
      </w:r>
      <w:r w:rsidRPr="000950F1">
        <w:rPr>
          <w:rFonts w:ascii="Tw Cen MT" w:eastAsia="굴림체" w:hAnsi="Tw Cen MT"/>
          <w:i/>
          <w:iCs/>
          <w:sz w:val="18"/>
          <w:szCs w:val="18"/>
        </w:rPr>
        <w:t xml:space="preserve">Pseudomonas </w:t>
      </w:r>
      <w:proofErr w:type="spellStart"/>
      <w:r w:rsidRPr="000950F1">
        <w:rPr>
          <w:rFonts w:ascii="Tw Cen MT" w:eastAsia="굴림체" w:hAnsi="Tw Cen MT"/>
          <w:i/>
          <w:iCs/>
          <w:sz w:val="18"/>
          <w:szCs w:val="18"/>
        </w:rPr>
        <w:t>aeruginosa</w:t>
      </w:r>
      <w:proofErr w:type="spellEnd"/>
      <w:r w:rsidRPr="000950F1">
        <w:rPr>
          <w:rFonts w:ascii="Tw Cen MT" w:eastAsia="굴림체" w:hAnsi="Tw Cen MT"/>
          <w:i/>
          <w:iCs/>
          <w:sz w:val="18"/>
          <w:szCs w:val="18"/>
        </w:rPr>
        <w:t>,</w:t>
      </w:r>
      <w:r w:rsidRPr="000950F1">
        <w:rPr>
          <w:rFonts w:ascii="Tw Cen MT" w:eastAsia="굴림체" w:hAnsi="Tw Cen MT"/>
          <w:sz w:val="18"/>
          <w:szCs w:val="18"/>
        </w:rPr>
        <w:t xml:space="preserve"> and 207 for </w:t>
      </w:r>
      <w:r w:rsidRPr="000950F1">
        <w:rPr>
          <w:rFonts w:ascii="Tw Cen MT" w:eastAsia="굴림체" w:hAnsi="Tw Cen MT"/>
          <w:i/>
          <w:iCs/>
          <w:sz w:val="18"/>
          <w:szCs w:val="18"/>
        </w:rPr>
        <w:t xml:space="preserve">Staphylococcus </w:t>
      </w:r>
      <w:proofErr w:type="spellStart"/>
      <w:r w:rsidRPr="000950F1">
        <w:rPr>
          <w:rFonts w:ascii="Tw Cen MT" w:eastAsia="굴림체" w:hAnsi="Tw Cen MT"/>
          <w:i/>
          <w:iCs/>
          <w:sz w:val="18"/>
          <w:szCs w:val="18"/>
        </w:rPr>
        <w:t>aureus</w:t>
      </w:r>
      <w:proofErr w:type="spellEnd"/>
      <w:r w:rsidRPr="000950F1">
        <w:rPr>
          <w:rFonts w:ascii="Tw Cen MT" w:eastAsia="굴림체" w:hAnsi="Tw Cen MT"/>
          <w:sz w:val="18"/>
          <w:szCs w:val="18"/>
        </w:rPr>
        <w:t xml:space="preserve">. On the other hand, the colony count in silver foam was 18 for </w:t>
      </w:r>
      <w:r w:rsidRPr="000950F1">
        <w:rPr>
          <w:rFonts w:ascii="Tw Cen MT" w:eastAsia="굴림체" w:hAnsi="Tw Cen MT"/>
          <w:i/>
          <w:iCs/>
          <w:sz w:val="18"/>
          <w:szCs w:val="18"/>
        </w:rPr>
        <w:t>E. coli,</w:t>
      </w:r>
      <w:r w:rsidRPr="000950F1">
        <w:rPr>
          <w:rFonts w:ascii="Tw Cen MT" w:eastAsia="굴림체" w:hAnsi="Tw Cen MT"/>
          <w:sz w:val="18"/>
          <w:szCs w:val="18"/>
        </w:rPr>
        <w:t xml:space="preserve"> 58 for </w:t>
      </w:r>
      <w:r w:rsidRPr="000950F1">
        <w:rPr>
          <w:rFonts w:ascii="Tw Cen MT" w:eastAsia="굴림체" w:hAnsi="Tw Cen MT"/>
          <w:i/>
          <w:iCs/>
          <w:sz w:val="18"/>
          <w:szCs w:val="18"/>
        </w:rPr>
        <w:t xml:space="preserve">P. </w:t>
      </w:r>
      <w:proofErr w:type="spellStart"/>
      <w:r w:rsidRPr="000950F1">
        <w:rPr>
          <w:rFonts w:ascii="Tw Cen MT" w:eastAsia="굴림체" w:hAnsi="Tw Cen MT"/>
          <w:i/>
          <w:iCs/>
          <w:sz w:val="18"/>
          <w:szCs w:val="18"/>
        </w:rPr>
        <w:t>aeruginosa</w:t>
      </w:r>
      <w:proofErr w:type="spellEnd"/>
      <w:r w:rsidRPr="000950F1">
        <w:rPr>
          <w:rFonts w:ascii="Tw Cen MT" w:eastAsia="굴림체" w:hAnsi="Tw Cen MT"/>
          <w:i/>
          <w:iCs/>
          <w:sz w:val="18"/>
          <w:szCs w:val="18"/>
        </w:rPr>
        <w:t>,</w:t>
      </w:r>
      <w:r w:rsidRPr="000950F1">
        <w:rPr>
          <w:rFonts w:ascii="Tw Cen MT" w:eastAsia="굴림체" w:hAnsi="Tw Cen MT"/>
          <w:sz w:val="18"/>
          <w:szCs w:val="18"/>
        </w:rPr>
        <w:t xml:space="preserve"> and 137 for </w:t>
      </w:r>
      <w:r w:rsidRPr="000950F1">
        <w:rPr>
          <w:rFonts w:ascii="Tw Cen MT" w:eastAsia="굴림체" w:hAnsi="Tw Cen MT"/>
          <w:i/>
          <w:iCs/>
          <w:sz w:val="18"/>
          <w:szCs w:val="18"/>
        </w:rPr>
        <w:t xml:space="preserve">S. </w:t>
      </w:r>
      <w:proofErr w:type="spellStart"/>
      <w:r w:rsidRPr="000950F1">
        <w:rPr>
          <w:rFonts w:ascii="Tw Cen MT" w:eastAsia="굴림체" w:hAnsi="Tw Cen MT"/>
          <w:i/>
          <w:iCs/>
          <w:sz w:val="18"/>
          <w:szCs w:val="18"/>
        </w:rPr>
        <w:t>aureus</w:t>
      </w:r>
      <w:proofErr w:type="spellEnd"/>
      <w:r w:rsidRPr="000950F1">
        <w:rPr>
          <w:rFonts w:ascii="Tw Cen MT" w:eastAsia="굴림체" w:hAnsi="Tw Cen MT"/>
          <w:i/>
          <w:iCs/>
          <w:sz w:val="18"/>
          <w:szCs w:val="18"/>
        </w:rPr>
        <w:t xml:space="preserve"> </w:t>
      </w:r>
      <w:r w:rsidRPr="000950F1">
        <w:rPr>
          <w:rFonts w:ascii="Tw Cen MT" w:eastAsia="굴림체" w:hAnsi="Tw Cen MT"/>
          <w:sz w:val="18"/>
          <w:szCs w:val="18"/>
        </w:rPr>
        <w:t xml:space="preserve">(Fig 1A). The colony counts were also compared in the original and silver-coated NPWT system. The colony count in the original NPWT system was 35 for </w:t>
      </w:r>
      <w:r w:rsidRPr="000950F1">
        <w:rPr>
          <w:rFonts w:ascii="Tw Cen MT" w:eastAsia="굴림체" w:hAnsi="Tw Cen MT"/>
          <w:i/>
          <w:iCs/>
          <w:sz w:val="18"/>
          <w:szCs w:val="18"/>
        </w:rPr>
        <w:t>E. coli,</w:t>
      </w:r>
      <w:r w:rsidRPr="000950F1">
        <w:rPr>
          <w:rFonts w:ascii="Tw Cen MT" w:eastAsia="굴림체" w:hAnsi="Tw Cen MT"/>
          <w:sz w:val="18"/>
          <w:szCs w:val="18"/>
        </w:rPr>
        <w:t xml:space="preserve"> 52 for </w:t>
      </w:r>
      <w:r w:rsidRPr="000950F1">
        <w:rPr>
          <w:rFonts w:ascii="Tw Cen MT" w:eastAsia="굴림체" w:hAnsi="Tw Cen MT"/>
          <w:i/>
          <w:iCs/>
          <w:sz w:val="18"/>
          <w:szCs w:val="18"/>
        </w:rPr>
        <w:t xml:space="preserve">P. </w:t>
      </w:r>
      <w:proofErr w:type="spellStart"/>
      <w:r w:rsidRPr="000950F1">
        <w:rPr>
          <w:rFonts w:ascii="Tw Cen MT" w:eastAsia="굴림체" w:hAnsi="Tw Cen MT"/>
          <w:i/>
          <w:iCs/>
          <w:sz w:val="18"/>
          <w:szCs w:val="18"/>
        </w:rPr>
        <w:t>aeruginosa</w:t>
      </w:r>
      <w:proofErr w:type="spellEnd"/>
      <w:r w:rsidRPr="000950F1">
        <w:rPr>
          <w:rFonts w:ascii="Tw Cen MT" w:eastAsia="굴림체" w:hAnsi="Tw Cen MT"/>
          <w:i/>
          <w:iCs/>
          <w:sz w:val="18"/>
          <w:szCs w:val="18"/>
        </w:rPr>
        <w:t>,</w:t>
      </w:r>
      <w:r w:rsidRPr="000950F1">
        <w:rPr>
          <w:rFonts w:ascii="Tw Cen MT" w:eastAsia="굴림체" w:hAnsi="Tw Cen MT"/>
          <w:sz w:val="18"/>
          <w:szCs w:val="18"/>
        </w:rPr>
        <w:t xml:space="preserve"> and 81 for </w:t>
      </w:r>
      <w:r w:rsidRPr="000950F1">
        <w:rPr>
          <w:rFonts w:ascii="Tw Cen MT" w:eastAsia="굴림체" w:hAnsi="Tw Cen MT"/>
          <w:i/>
          <w:iCs/>
          <w:sz w:val="18"/>
          <w:szCs w:val="18"/>
        </w:rPr>
        <w:t xml:space="preserve">S. </w:t>
      </w:r>
      <w:proofErr w:type="spellStart"/>
      <w:r w:rsidRPr="000950F1">
        <w:rPr>
          <w:rFonts w:ascii="Tw Cen MT" w:eastAsia="굴림체" w:hAnsi="Tw Cen MT"/>
          <w:i/>
          <w:iCs/>
          <w:sz w:val="18"/>
          <w:szCs w:val="18"/>
        </w:rPr>
        <w:t>aureus</w:t>
      </w:r>
      <w:proofErr w:type="spellEnd"/>
      <w:r w:rsidRPr="000950F1">
        <w:rPr>
          <w:rFonts w:ascii="Tw Cen MT" w:eastAsia="굴림체" w:hAnsi="Tw Cen MT"/>
          <w:i/>
          <w:iCs/>
          <w:sz w:val="18"/>
          <w:szCs w:val="18"/>
        </w:rPr>
        <w:t xml:space="preserve">. </w:t>
      </w:r>
      <w:proofErr w:type="gramStart"/>
      <w:r w:rsidRPr="000950F1">
        <w:rPr>
          <w:rFonts w:ascii="Tw Cen MT" w:eastAsia="굴림체" w:hAnsi="Tw Cen MT"/>
          <w:sz w:val="18"/>
          <w:szCs w:val="18"/>
        </w:rPr>
        <w:t>the</w:t>
      </w:r>
      <w:proofErr w:type="gramEnd"/>
      <w:r w:rsidRPr="000950F1">
        <w:rPr>
          <w:rFonts w:ascii="Tw Cen MT" w:eastAsia="굴림체" w:hAnsi="Tw Cen MT"/>
          <w:sz w:val="18"/>
          <w:szCs w:val="18"/>
        </w:rPr>
        <w:t xml:space="preserve"> colony count in silver-coated NPWT system was 5 for </w:t>
      </w:r>
      <w:r w:rsidRPr="000950F1">
        <w:rPr>
          <w:rFonts w:ascii="Tw Cen MT" w:eastAsia="굴림체" w:hAnsi="Tw Cen MT"/>
          <w:i/>
          <w:iCs/>
          <w:sz w:val="18"/>
          <w:szCs w:val="18"/>
        </w:rPr>
        <w:t>E. coli,</w:t>
      </w:r>
      <w:r w:rsidRPr="000950F1">
        <w:rPr>
          <w:rFonts w:ascii="Tw Cen MT" w:eastAsia="굴림체" w:hAnsi="Tw Cen MT"/>
          <w:sz w:val="18"/>
          <w:szCs w:val="18"/>
        </w:rPr>
        <w:t xml:space="preserve"> 31 for </w:t>
      </w:r>
      <w:r w:rsidRPr="000950F1">
        <w:rPr>
          <w:rFonts w:ascii="Tw Cen MT" w:eastAsia="굴림체" w:hAnsi="Tw Cen MT"/>
          <w:i/>
          <w:iCs/>
          <w:sz w:val="18"/>
          <w:szCs w:val="18"/>
        </w:rPr>
        <w:t xml:space="preserve">P. </w:t>
      </w:r>
      <w:proofErr w:type="spellStart"/>
      <w:r w:rsidRPr="000950F1">
        <w:rPr>
          <w:rFonts w:ascii="Tw Cen MT" w:eastAsia="굴림체" w:hAnsi="Tw Cen MT"/>
          <w:i/>
          <w:iCs/>
          <w:sz w:val="18"/>
          <w:szCs w:val="18"/>
        </w:rPr>
        <w:t>aeruginosa</w:t>
      </w:r>
      <w:proofErr w:type="spellEnd"/>
      <w:r w:rsidRPr="000950F1">
        <w:rPr>
          <w:rFonts w:ascii="Tw Cen MT" w:eastAsia="굴림체" w:hAnsi="Tw Cen MT"/>
          <w:i/>
          <w:iCs/>
          <w:sz w:val="18"/>
          <w:szCs w:val="18"/>
        </w:rPr>
        <w:t>,</w:t>
      </w:r>
      <w:r w:rsidRPr="000950F1">
        <w:rPr>
          <w:rFonts w:ascii="Tw Cen MT" w:eastAsia="굴림체" w:hAnsi="Tw Cen MT"/>
          <w:sz w:val="18"/>
          <w:szCs w:val="18"/>
        </w:rPr>
        <w:t xml:space="preserve"> and 28 for </w:t>
      </w:r>
      <w:r w:rsidRPr="000950F1">
        <w:rPr>
          <w:rFonts w:ascii="Tw Cen MT" w:eastAsia="굴림체" w:hAnsi="Tw Cen MT"/>
          <w:i/>
          <w:iCs/>
          <w:sz w:val="18"/>
          <w:szCs w:val="18"/>
        </w:rPr>
        <w:t xml:space="preserve">S. </w:t>
      </w:r>
      <w:proofErr w:type="spellStart"/>
      <w:r w:rsidRPr="000950F1">
        <w:rPr>
          <w:rFonts w:ascii="Tw Cen MT" w:eastAsia="굴림체" w:hAnsi="Tw Cen MT"/>
          <w:i/>
          <w:iCs/>
          <w:sz w:val="18"/>
          <w:szCs w:val="18"/>
        </w:rPr>
        <w:t>aureus</w:t>
      </w:r>
      <w:proofErr w:type="spellEnd"/>
      <w:r w:rsidRPr="000950F1">
        <w:rPr>
          <w:rFonts w:ascii="Tw Cen MT" w:eastAsia="굴림체" w:hAnsi="Tw Cen MT"/>
          <w:i/>
          <w:iCs/>
          <w:sz w:val="18"/>
          <w:szCs w:val="18"/>
        </w:rPr>
        <w:t xml:space="preserve"> </w:t>
      </w:r>
      <w:r w:rsidRPr="000950F1">
        <w:rPr>
          <w:rFonts w:ascii="Tw Cen MT" w:eastAsia="굴림체" w:hAnsi="Tw Cen MT"/>
          <w:sz w:val="18"/>
          <w:szCs w:val="18"/>
        </w:rPr>
        <w:t>(Fig 1B).</w:t>
      </w:r>
    </w:p>
    <w:p w:rsidR="00AE3E37" w:rsidRPr="000950F1" w:rsidRDefault="000950F1" w:rsidP="000950F1">
      <w:pPr>
        <w:pStyle w:val="MS"/>
        <w:rPr>
          <w:rFonts w:ascii="Tw Cen MT" w:eastAsia="굴림체" w:hAnsi="Tw Cen MT"/>
          <w:sz w:val="18"/>
          <w:szCs w:val="18"/>
        </w:rPr>
      </w:pPr>
      <w:r w:rsidRPr="000950F1">
        <w:rPr>
          <w:rFonts w:ascii="Tw Cen MT" w:eastAsia="굴림체" w:hAnsi="Tw Cen MT"/>
          <w:sz w:val="18"/>
          <w:szCs w:val="18"/>
        </w:rPr>
        <w:t>Conclusion: In this study, the count of colonies was significantly lower than the original NPWT system in silver-coated NPWT system for all tested bacteria strains. In vivo and clinical studies on the antimicrobial effect and safety of silver-coated NPWT system are needed in the future.</w:t>
      </w:r>
    </w:p>
    <w:p w:rsidR="00483D8B" w:rsidRPr="00483D8B" w:rsidRDefault="00A9710C" w:rsidP="00483D8B">
      <w:pPr>
        <w:pStyle w:val="3"/>
        <w:spacing w:before="74"/>
        <w:rPr>
          <w:rFonts w:eastAsiaTheme="minorEastAsia"/>
          <w:color w:val="BF5A14"/>
          <w:lang w:eastAsia="ko-KR"/>
        </w:rPr>
      </w:pPr>
      <w:r>
        <w:rPr>
          <w:b w:val="0"/>
        </w:rPr>
        <w:br w:type="column"/>
      </w:r>
      <w:r>
        <w:rPr>
          <w:color w:val="BF5A14"/>
        </w:rPr>
        <w:lastRenderedPageBreak/>
        <w:t>Image</w:t>
      </w:r>
      <w:r w:rsidR="00BF7FA2" w:rsidRPr="00BF7FA2">
        <w:rPr>
          <w:rFonts w:ascii="Tw Cen MT" w:eastAsia="Tw Cen MT" w:hAnsi="Tw Cen MT" w:cs="Tw Cen MT"/>
          <w:b w:val="0"/>
          <w:bCs w:val="0"/>
          <w:noProof/>
          <w:sz w:val="22"/>
          <w:szCs w:val="22"/>
          <w:lang w:eastAsia="ko-KR"/>
        </w:rPr>
        <w:t xml:space="preserve"> </w:t>
      </w:r>
      <w:r w:rsidR="00BF7FA2" w:rsidRPr="00BF7FA2">
        <w:rPr>
          <w:rFonts w:ascii="Tw Cen MT" w:eastAsia="Tw Cen MT" w:hAnsi="Tw Cen MT" w:cs="Tw Cen MT"/>
          <w:b w:val="0"/>
          <w:bCs w:val="0"/>
          <w:noProof/>
          <w:sz w:val="22"/>
          <w:szCs w:val="22"/>
          <w:lang w:eastAsia="ko-KR"/>
        </w:rPr>
        <w:drawing>
          <wp:inline distT="0" distB="0" distL="0" distR="0">
            <wp:extent cx="3321101" cy="1228953"/>
            <wp:effectExtent l="0" t="0" r="0" b="0"/>
            <wp:docPr id="5" name="개체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249508" cy="3281361"/>
                      <a:chOff x="-105508" y="1668709"/>
                      <a:chExt cx="9249508" cy="3281361"/>
                    </a:xfrm>
                  </a:grpSpPr>
                  <a:grpSp>
                    <a:nvGrpSpPr>
                      <a:cNvPr id="9" name="그룹 8"/>
                      <a:cNvGrpSpPr/>
                    </a:nvGrpSpPr>
                    <a:grpSpPr>
                      <a:xfrm>
                        <a:off x="-105508" y="1668709"/>
                        <a:ext cx="9249508" cy="3281361"/>
                        <a:chOff x="-105508" y="1668709"/>
                        <a:chExt cx="9249508" cy="3281361"/>
                      </a:xfrm>
                    </a:grpSpPr>
                    <a:graphicFrame>
                      <a:nvGraphicFramePr>
                        <a:cNvPr id="5" name="차트 4"/>
                        <a:cNvGraphicFramePr/>
                      </a:nvGraphicFramePr>
                      <a:graphic>
                        <a:graphicData uri="http://schemas.openxmlformats.org/drawingml/2006/chart">
                          <c:chart xmlns:c="http://schemas.openxmlformats.org/drawingml/2006/chart" xmlns:r="http://schemas.openxmlformats.org/officeDocument/2006/relationships" r:id="rId9"/>
                        </a:graphicData>
                      </a:graphic>
                      <a:xfrm>
                        <a:off x="-105508" y="1736056"/>
                        <a:ext cx="4299439" cy="3196429"/>
                      </a:xfrm>
                    </a:graphicFrame>
                    <a:graphicFrame>
                      <a:nvGraphicFramePr>
                        <a:cNvPr id="6" name="차트 5"/>
                        <a:cNvGraphicFramePr/>
                      </a:nvGraphicFramePr>
                      <a:graphic>
                        <a:graphicData uri="http://schemas.openxmlformats.org/drawingml/2006/chart">
                          <c:chart xmlns:c="http://schemas.openxmlformats.org/drawingml/2006/chart" xmlns:r="http://schemas.openxmlformats.org/officeDocument/2006/relationships" r:id="rId10"/>
                        </a:graphicData>
                      </a:graphic>
                      <a:xfrm>
                        <a:off x="4009198" y="1668709"/>
                        <a:ext cx="5134802" cy="3281361"/>
                      </a:xfrm>
                    </a:graphicFrame>
                    <a:sp>
                      <a:nvSpPr>
                        <a:cNvPr id="7" name="TextBox 6"/>
                        <a:cNvSpPr txBox="1"/>
                      </a:nvSpPr>
                      <a:spPr>
                        <a:xfrm>
                          <a:off x="369276" y="1767254"/>
                          <a:ext cx="527539" cy="308418"/>
                        </a:xfrm>
                        <a:prstGeom prst="rect">
                          <a:avLst/>
                        </a:prstGeom>
                        <a:noFill/>
                      </a:spPr>
                      <a:txSp>
                        <a:txBody>
                          <a:bodyPr wrap="square" rtlCol="0">
                            <a:spAutoFit/>
                          </a:bodyPr>
                          <a:lstStyle>
                            <a:defPPr>
                              <a:defRPr lang="ko-KR"/>
                            </a:defPPr>
                            <a:lvl1pPr marL="0" algn="l" defTabSz="713232" rtl="0" eaLnBrk="1" latinLnBrk="1" hangingPunct="1">
                              <a:defRPr sz="1404" kern="1200">
                                <a:solidFill>
                                  <a:schemeClr val="tx1"/>
                                </a:solidFill>
                                <a:latin typeface="+mn-lt"/>
                                <a:ea typeface="+mn-ea"/>
                                <a:cs typeface="+mn-cs"/>
                              </a:defRPr>
                            </a:lvl1pPr>
                            <a:lvl2pPr marL="356616" algn="l" defTabSz="713232" rtl="0" eaLnBrk="1" latinLnBrk="1" hangingPunct="1">
                              <a:defRPr sz="1404" kern="1200">
                                <a:solidFill>
                                  <a:schemeClr val="tx1"/>
                                </a:solidFill>
                                <a:latin typeface="+mn-lt"/>
                                <a:ea typeface="+mn-ea"/>
                                <a:cs typeface="+mn-cs"/>
                              </a:defRPr>
                            </a:lvl2pPr>
                            <a:lvl3pPr marL="713232" algn="l" defTabSz="713232" rtl="0" eaLnBrk="1" latinLnBrk="1" hangingPunct="1">
                              <a:defRPr sz="1404" kern="1200">
                                <a:solidFill>
                                  <a:schemeClr val="tx1"/>
                                </a:solidFill>
                                <a:latin typeface="+mn-lt"/>
                                <a:ea typeface="+mn-ea"/>
                                <a:cs typeface="+mn-cs"/>
                              </a:defRPr>
                            </a:lvl3pPr>
                            <a:lvl4pPr marL="1069848" algn="l" defTabSz="713232" rtl="0" eaLnBrk="1" latinLnBrk="1" hangingPunct="1">
                              <a:defRPr sz="1404" kern="1200">
                                <a:solidFill>
                                  <a:schemeClr val="tx1"/>
                                </a:solidFill>
                                <a:latin typeface="+mn-lt"/>
                                <a:ea typeface="+mn-ea"/>
                                <a:cs typeface="+mn-cs"/>
                              </a:defRPr>
                            </a:lvl4pPr>
                            <a:lvl5pPr marL="1426464" algn="l" defTabSz="713232" rtl="0" eaLnBrk="1" latinLnBrk="1" hangingPunct="1">
                              <a:defRPr sz="1404" kern="1200">
                                <a:solidFill>
                                  <a:schemeClr val="tx1"/>
                                </a:solidFill>
                                <a:latin typeface="+mn-lt"/>
                                <a:ea typeface="+mn-ea"/>
                                <a:cs typeface="+mn-cs"/>
                              </a:defRPr>
                            </a:lvl5pPr>
                            <a:lvl6pPr marL="1783080" algn="l" defTabSz="713232" rtl="0" eaLnBrk="1" latinLnBrk="1" hangingPunct="1">
                              <a:defRPr sz="1404" kern="1200">
                                <a:solidFill>
                                  <a:schemeClr val="tx1"/>
                                </a:solidFill>
                                <a:latin typeface="+mn-lt"/>
                                <a:ea typeface="+mn-ea"/>
                                <a:cs typeface="+mn-cs"/>
                              </a:defRPr>
                            </a:lvl6pPr>
                            <a:lvl7pPr marL="2139696" algn="l" defTabSz="713232" rtl="0" eaLnBrk="1" latinLnBrk="1" hangingPunct="1">
                              <a:defRPr sz="1404" kern="1200">
                                <a:solidFill>
                                  <a:schemeClr val="tx1"/>
                                </a:solidFill>
                                <a:latin typeface="+mn-lt"/>
                                <a:ea typeface="+mn-ea"/>
                                <a:cs typeface="+mn-cs"/>
                              </a:defRPr>
                            </a:lvl7pPr>
                            <a:lvl8pPr marL="2496312" algn="l" defTabSz="713232" rtl="0" eaLnBrk="1" latinLnBrk="1" hangingPunct="1">
                              <a:defRPr sz="1404" kern="1200">
                                <a:solidFill>
                                  <a:schemeClr val="tx1"/>
                                </a:solidFill>
                                <a:latin typeface="+mn-lt"/>
                                <a:ea typeface="+mn-ea"/>
                                <a:cs typeface="+mn-cs"/>
                              </a:defRPr>
                            </a:lvl8pPr>
                            <a:lvl9pPr marL="2852928" algn="l" defTabSz="713232" rtl="0" eaLnBrk="1" latinLnBrk="1" hangingPunct="1">
                              <a:defRPr sz="1404" kern="1200">
                                <a:solidFill>
                                  <a:schemeClr val="tx1"/>
                                </a:solidFill>
                                <a:latin typeface="+mn-lt"/>
                                <a:ea typeface="+mn-ea"/>
                                <a:cs typeface="+mn-cs"/>
                              </a:defRPr>
                            </a:lvl9pPr>
                          </a:lstStyle>
                          <a:p>
                            <a:r>
                              <a:rPr lang="en-US" altLang="ko-KR" dirty="0" smtClean="0"/>
                              <a:t>A</a:t>
                            </a:r>
                            <a:endParaRPr lang="ko-KR" altLang="en-US" dirty="0"/>
                          </a:p>
                        </a:txBody>
                        <a:useSpRect/>
                      </a:txSp>
                    </a:sp>
                    <a:sp>
                      <a:nvSpPr>
                        <a:cNvPr id="8" name="TextBox 7"/>
                        <a:cNvSpPr txBox="1"/>
                      </a:nvSpPr>
                      <a:spPr>
                        <a:xfrm>
                          <a:off x="5093676" y="1778977"/>
                          <a:ext cx="527539" cy="308418"/>
                        </a:xfrm>
                        <a:prstGeom prst="rect">
                          <a:avLst/>
                        </a:prstGeom>
                        <a:noFill/>
                      </a:spPr>
                      <a:txSp>
                        <a:txBody>
                          <a:bodyPr wrap="square" rtlCol="0">
                            <a:spAutoFit/>
                          </a:bodyPr>
                          <a:lstStyle>
                            <a:defPPr>
                              <a:defRPr lang="ko-KR"/>
                            </a:defPPr>
                            <a:lvl1pPr marL="0" algn="l" defTabSz="713232" rtl="0" eaLnBrk="1" latinLnBrk="1" hangingPunct="1">
                              <a:defRPr sz="1404" kern="1200">
                                <a:solidFill>
                                  <a:schemeClr val="tx1"/>
                                </a:solidFill>
                                <a:latin typeface="+mn-lt"/>
                                <a:ea typeface="+mn-ea"/>
                                <a:cs typeface="+mn-cs"/>
                              </a:defRPr>
                            </a:lvl1pPr>
                            <a:lvl2pPr marL="356616" algn="l" defTabSz="713232" rtl="0" eaLnBrk="1" latinLnBrk="1" hangingPunct="1">
                              <a:defRPr sz="1404" kern="1200">
                                <a:solidFill>
                                  <a:schemeClr val="tx1"/>
                                </a:solidFill>
                                <a:latin typeface="+mn-lt"/>
                                <a:ea typeface="+mn-ea"/>
                                <a:cs typeface="+mn-cs"/>
                              </a:defRPr>
                            </a:lvl2pPr>
                            <a:lvl3pPr marL="713232" algn="l" defTabSz="713232" rtl="0" eaLnBrk="1" latinLnBrk="1" hangingPunct="1">
                              <a:defRPr sz="1404" kern="1200">
                                <a:solidFill>
                                  <a:schemeClr val="tx1"/>
                                </a:solidFill>
                                <a:latin typeface="+mn-lt"/>
                                <a:ea typeface="+mn-ea"/>
                                <a:cs typeface="+mn-cs"/>
                              </a:defRPr>
                            </a:lvl3pPr>
                            <a:lvl4pPr marL="1069848" algn="l" defTabSz="713232" rtl="0" eaLnBrk="1" latinLnBrk="1" hangingPunct="1">
                              <a:defRPr sz="1404" kern="1200">
                                <a:solidFill>
                                  <a:schemeClr val="tx1"/>
                                </a:solidFill>
                                <a:latin typeface="+mn-lt"/>
                                <a:ea typeface="+mn-ea"/>
                                <a:cs typeface="+mn-cs"/>
                              </a:defRPr>
                            </a:lvl4pPr>
                            <a:lvl5pPr marL="1426464" algn="l" defTabSz="713232" rtl="0" eaLnBrk="1" latinLnBrk="1" hangingPunct="1">
                              <a:defRPr sz="1404" kern="1200">
                                <a:solidFill>
                                  <a:schemeClr val="tx1"/>
                                </a:solidFill>
                                <a:latin typeface="+mn-lt"/>
                                <a:ea typeface="+mn-ea"/>
                                <a:cs typeface="+mn-cs"/>
                              </a:defRPr>
                            </a:lvl5pPr>
                            <a:lvl6pPr marL="1783080" algn="l" defTabSz="713232" rtl="0" eaLnBrk="1" latinLnBrk="1" hangingPunct="1">
                              <a:defRPr sz="1404" kern="1200">
                                <a:solidFill>
                                  <a:schemeClr val="tx1"/>
                                </a:solidFill>
                                <a:latin typeface="+mn-lt"/>
                                <a:ea typeface="+mn-ea"/>
                                <a:cs typeface="+mn-cs"/>
                              </a:defRPr>
                            </a:lvl6pPr>
                            <a:lvl7pPr marL="2139696" algn="l" defTabSz="713232" rtl="0" eaLnBrk="1" latinLnBrk="1" hangingPunct="1">
                              <a:defRPr sz="1404" kern="1200">
                                <a:solidFill>
                                  <a:schemeClr val="tx1"/>
                                </a:solidFill>
                                <a:latin typeface="+mn-lt"/>
                                <a:ea typeface="+mn-ea"/>
                                <a:cs typeface="+mn-cs"/>
                              </a:defRPr>
                            </a:lvl7pPr>
                            <a:lvl8pPr marL="2496312" algn="l" defTabSz="713232" rtl="0" eaLnBrk="1" latinLnBrk="1" hangingPunct="1">
                              <a:defRPr sz="1404" kern="1200">
                                <a:solidFill>
                                  <a:schemeClr val="tx1"/>
                                </a:solidFill>
                                <a:latin typeface="+mn-lt"/>
                                <a:ea typeface="+mn-ea"/>
                                <a:cs typeface="+mn-cs"/>
                              </a:defRPr>
                            </a:lvl8pPr>
                            <a:lvl9pPr marL="2852928" algn="l" defTabSz="713232" rtl="0" eaLnBrk="1" latinLnBrk="1" hangingPunct="1">
                              <a:defRPr sz="1404" kern="1200">
                                <a:solidFill>
                                  <a:schemeClr val="tx1"/>
                                </a:solidFill>
                                <a:latin typeface="+mn-lt"/>
                                <a:ea typeface="+mn-ea"/>
                                <a:cs typeface="+mn-cs"/>
                              </a:defRPr>
                            </a:lvl9pPr>
                          </a:lstStyle>
                          <a:p>
                            <a:r>
                              <a:rPr lang="en-US" altLang="ko-KR" dirty="0" smtClean="0"/>
                              <a:t>B</a:t>
                            </a:r>
                            <a:endParaRPr lang="ko-KR" altLang="en-US" dirty="0"/>
                          </a:p>
                        </a:txBody>
                        <a:useSpRect/>
                      </a:txSp>
                    </a:sp>
                  </a:grpSp>
                </lc:lockedCanvas>
              </a:graphicData>
            </a:graphic>
          </wp:inline>
        </w:drawing>
      </w:r>
    </w:p>
    <w:p w:rsidR="00AE3E37" w:rsidRPr="000950F1" w:rsidRDefault="000950F1" w:rsidP="000950F1">
      <w:pPr>
        <w:pStyle w:val="a9"/>
        <w:ind w:leftChars="100" w:left="220"/>
        <w:rPr>
          <w:rFonts w:ascii="굴림체" w:eastAsia="굴림체" w:hAnsi="굴림체"/>
          <w:sz w:val="18"/>
          <w:szCs w:val="18"/>
        </w:rPr>
      </w:pPr>
      <w:proofErr w:type="gramStart"/>
      <w:r w:rsidRPr="000950F1">
        <w:rPr>
          <w:rFonts w:ascii="Tw Cen MT" w:eastAsia="굴림체" w:hAnsi="Tw Cen MT"/>
          <w:sz w:val="18"/>
          <w:szCs w:val="18"/>
        </w:rPr>
        <w:t>Figure 1.</w:t>
      </w:r>
      <w:proofErr w:type="gramEnd"/>
      <w:r w:rsidRPr="000950F1">
        <w:rPr>
          <w:rFonts w:ascii="Tw Cen MT" w:eastAsia="굴림체" w:hAnsi="Tw Cen MT"/>
          <w:sz w:val="18"/>
          <w:szCs w:val="18"/>
        </w:rPr>
        <w:t xml:space="preserve"> Comparison of the colony counts in conventional and silver-coated foam (A) as well as the original negative pressure wound therapy (NPWT) and silver-coated NPWT system (B).</w:t>
      </w:r>
    </w:p>
    <w:p w:rsidR="005973B9" w:rsidRDefault="005973B9" w:rsidP="00DF4E14">
      <w:pPr>
        <w:spacing w:line="204" w:lineRule="exact"/>
        <w:ind w:left="196" w:hangingChars="100" w:hanging="196"/>
        <w:rPr>
          <w:rFonts w:ascii="Arial"/>
          <w:b/>
          <w:sz w:val="20"/>
        </w:rPr>
      </w:pPr>
      <w:r>
        <w:rPr>
          <w:rFonts w:ascii="Arial"/>
          <w:b/>
          <w:color w:val="BF5A14"/>
          <w:sz w:val="20"/>
        </w:rPr>
        <w:br/>
        <w:t>Recent Publications (minimum 5)</w:t>
      </w:r>
    </w:p>
    <w:p w:rsidR="004863F7" w:rsidRPr="004863F7" w:rsidRDefault="004863F7" w:rsidP="004863F7">
      <w:pPr>
        <w:pStyle w:val="a4"/>
        <w:numPr>
          <w:ilvl w:val="0"/>
          <w:numId w:val="3"/>
        </w:numPr>
        <w:rPr>
          <w:rFonts w:hint="eastAsia"/>
          <w:sz w:val="18"/>
          <w:szCs w:val="18"/>
        </w:rPr>
      </w:pPr>
      <w:proofErr w:type="spellStart"/>
      <w:r w:rsidRPr="004863F7">
        <w:rPr>
          <w:sz w:val="18"/>
          <w:szCs w:val="18"/>
        </w:rPr>
        <w:t>Dorafshar</w:t>
      </w:r>
      <w:proofErr w:type="spellEnd"/>
      <w:r w:rsidRPr="004863F7">
        <w:rPr>
          <w:sz w:val="18"/>
          <w:szCs w:val="18"/>
        </w:rPr>
        <w:t xml:space="preserve"> AH et al. A prospective randomized trial comparing </w:t>
      </w:r>
      <w:proofErr w:type="spellStart"/>
      <w:r w:rsidRPr="004863F7">
        <w:rPr>
          <w:sz w:val="18"/>
          <w:szCs w:val="18"/>
        </w:rPr>
        <w:t>subatmospheric</w:t>
      </w:r>
      <w:proofErr w:type="spellEnd"/>
      <w:r w:rsidRPr="004863F7">
        <w:rPr>
          <w:sz w:val="18"/>
          <w:szCs w:val="18"/>
        </w:rPr>
        <w:t xml:space="preserve"> wound therapy with a sealed gauze dressing and the standard vacuum-assisted closure device: a supplementary subgroup analysis of infected. </w:t>
      </w:r>
      <w:proofErr w:type="spellStart"/>
      <w:r w:rsidRPr="004863F7">
        <w:rPr>
          <w:sz w:val="18"/>
          <w:szCs w:val="18"/>
        </w:rPr>
        <w:t>wounds.Wounds</w:t>
      </w:r>
      <w:proofErr w:type="spellEnd"/>
      <w:r w:rsidRPr="004863F7">
        <w:rPr>
          <w:sz w:val="18"/>
          <w:szCs w:val="18"/>
        </w:rPr>
        <w:t>. 2013 May</w:t>
      </w:r>
      <w:proofErr w:type="gramStart"/>
      <w:r w:rsidRPr="004863F7">
        <w:rPr>
          <w:sz w:val="18"/>
          <w:szCs w:val="18"/>
        </w:rPr>
        <w:t>;25</w:t>
      </w:r>
      <w:proofErr w:type="gramEnd"/>
      <w:r w:rsidRPr="004863F7">
        <w:rPr>
          <w:sz w:val="18"/>
          <w:szCs w:val="18"/>
        </w:rPr>
        <w:t>(5):121-30.</w:t>
      </w:r>
    </w:p>
    <w:p w:rsidR="004863F7" w:rsidRPr="004863F7" w:rsidRDefault="004863F7" w:rsidP="004863F7">
      <w:pPr>
        <w:pStyle w:val="a4"/>
        <w:numPr>
          <w:ilvl w:val="0"/>
          <w:numId w:val="3"/>
        </w:numPr>
        <w:rPr>
          <w:sz w:val="18"/>
          <w:szCs w:val="18"/>
        </w:rPr>
      </w:pPr>
      <w:proofErr w:type="spellStart"/>
      <w:r w:rsidRPr="004863F7">
        <w:rPr>
          <w:sz w:val="18"/>
          <w:szCs w:val="18"/>
        </w:rPr>
        <w:t>Stannard</w:t>
      </w:r>
      <w:proofErr w:type="spellEnd"/>
      <w:r w:rsidRPr="004863F7">
        <w:rPr>
          <w:sz w:val="18"/>
          <w:szCs w:val="18"/>
        </w:rPr>
        <w:t xml:space="preserve"> JP et al. </w:t>
      </w:r>
      <w:proofErr w:type="spellStart"/>
      <w:r w:rsidRPr="004863F7">
        <w:rPr>
          <w:sz w:val="18"/>
          <w:szCs w:val="18"/>
        </w:rPr>
        <w:t>Incisional</w:t>
      </w:r>
      <w:proofErr w:type="spellEnd"/>
      <w:r w:rsidRPr="004863F7">
        <w:rPr>
          <w:sz w:val="18"/>
          <w:szCs w:val="18"/>
        </w:rPr>
        <w:t xml:space="preserve"> negative pressure wound therapy after high-risk lower extremity fractures. J </w:t>
      </w:r>
      <w:proofErr w:type="spellStart"/>
      <w:r w:rsidRPr="004863F7">
        <w:rPr>
          <w:sz w:val="18"/>
          <w:szCs w:val="18"/>
        </w:rPr>
        <w:t>Orthop</w:t>
      </w:r>
      <w:proofErr w:type="spellEnd"/>
      <w:r w:rsidRPr="004863F7">
        <w:rPr>
          <w:sz w:val="18"/>
          <w:szCs w:val="18"/>
        </w:rPr>
        <w:t xml:space="preserve"> Trauma. 2012 Jan</w:t>
      </w:r>
      <w:proofErr w:type="gramStart"/>
      <w:r w:rsidRPr="004863F7">
        <w:rPr>
          <w:sz w:val="18"/>
          <w:szCs w:val="18"/>
        </w:rPr>
        <w:t>;26</w:t>
      </w:r>
      <w:proofErr w:type="gramEnd"/>
      <w:r w:rsidRPr="004863F7">
        <w:rPr>
          <w:sz w:val="18"/>
          <w:szCs w:val="18"/>
        </w:rPr>
        <w:t xml:space="preserve">(1):37-42. </w:t>
      </w:r>
      <w:proofErr w:type="spellStart"/>
      <w:proofErr w:type="gramStart"/>
      <w:r w:rsidRPr="004863F7">
        <w:rPr>
          <w:sz w:val="18"/>
          <w:szCs w:val="18"/>
        </w:rPr>
        <w:t>doi</w:t>
      </w:r>
      <w:proofErr w:type="spellEnd"/>
      <w:proofErr w:type="gramEnd"/>
      <w:r w:rsidRPr="004863F7">
        <w:rPr>
          <w:sz w:val="18"/>
          <w:szCs w:val="18"/>
        </w:rPr>
        <w:t>: 10.1097</w:t>
      </w:r>
      <w:r>
        <w:rPr>
          <w:rFonts w:eastAsiaTheme="minorEastAsia" w:hint="eastAsia"/>
          <w:sz w:val="18"/>
          <w:szCs w:val="18"/>
          <w:lang w:eastAsia="ko-KR"/>
        </w:rPr>
        <w:t>.</w:t>
      </w:r>
    </w:p>
    <w:p w:rsidR="004863F7" w:rsidRDefault="004863F7" w:rsidP="004863F7">
      <w:pPr>
        <w:pStyle w:val="a4"/>
        <w:numPr>
          <w:ilvl w:val="0"/>
          <w:numId w:val="3"/>
        </w:numPr>
        <w:rPr>
          <w:rFonts w:ascii="맑은 고딕" w:eastAsia="맑은 고딕" w:hAnsi="맑은 고딕"/>
        </w:rPr>
      </w:pPr>
      <w:hyperlink r:id="rId11" w:history="1">
        <w:r w:rsidRPr="004863F7">
          <w:rPr>
            <w:rStyle w:val="Char"/>
            <w:rFonts w:hint="eastAsia"/>
          </w:rPr>
          <w:t>Arhi C</w:t>
        </w:r>
      </w:hyperlink>
      <w:r w:rsidRPr="004863F7">
        <w:rPr>
          <w:rStyle w:val="Char"/>
          <w:rFonts w:hint="eastAsia"/>
        </w:rPr>
        <w:t xml:space="preserve"> et al. Use of a silver dressing for management of an open abdominal wound complicated by an </w:t>
      </w:r>
      <w:proofErr w:type="spellStart"/>
      <w:r w:rsidRPr="004863F7">
        <w:rPr>
          <w:rStyle w:val="Char"/>
          <w:rFonts w:hint="eastAsia"/>
        </w:rPr>
        <w:t>enterocutaneous</w:t>
      </w:r>
      <w:proofErr w:type="spellEnd"/>
      <w:r w:rsidRPr="004863F7">
        <w:rPr>
          <w:rStyle w:val="Char"/>
          <w:rFonts w:hint="eastAsia"/>
        </w:rPr>
        <w:t xml:space="preserve"> fistula-from hospital to community. </w:t>
      </w:r>
      <w:hyperlink r:id="rId12" w:history="1">
        <w:r w:rsidRPr="004863F7">
          <w:rPr>
            <w:rStyle w:val="Char"/>
            <w:rFonts w:hint="eastAsia"/>
          </w:rPr>
          <w:t>J Wound Ostomy Continence Nurs.</w:t>
        </w:r>
      </w:hyperlink>
      <w:r w:rsidRPr="004863F7">
        <w:rPr>
          <w:rStyle w:val="Char"/>
          <w:rFonts w:hint="eastAsia"/>
        </w:rPr>
        <w:t xml:space="preserve"> 2013 Jan-Feb</w:t>
      </w:r>
      <w:proofErr w:type="gramStart"/>
      <w:r w:rsidRPr="004863F7">
        <w:rPr>
          <w:rStyle w:val="Char"/>
          <w:rFonts w:hint="eastAsia"/>
        </w:rPr>
        <w:t>;40</w:t>
      </w:r>
      <w:proofErr w:type="gramEnd"/>
      <w:r w:rsidRPr="004863F7">
        <w:rPr>
          <w:rStyle w:val="Char"/>
          <w:rFonts w:hint="eastAsia"/>
        </w:rPr>
        <w:t>(1):101-3</w:t>
      </w:r>
      <w:r>
        <w:rPr>
          <w:rFonts w:ascii="맑은 고딕" w:eastAsia="맑은 고딕" w:hAnsi="맑은 고딕" w:hint="eastAsia"/>
        </w:rPr>
        <w:t>.</w:t>
      </w:r>
    </w:p>
    <w:p w:rsidR="004863F7" w:rsidRPr="004863F7" w:rsidRDefault="004863F7" w:rsidP="004863F7">
      <w:pPr>
        <w:pStyle w:val="a4"/>
        <w:numPr>
          <w:ilvl w:val="0"/>
          <w:numId w:val="3"/>
        </w:numPr>
        <w:rPr>
          <w:rFonts w:hint="eastAsia"/>
          <w:sz w:val="18"/>
          <w:szCs w:val="18"/>
        </w:rPr>
      </w:pPr>
      <w:proofErr w:type="spellStart"/>
      <w:r w:rsidRPr="004863F7">
        <w:rPr>
          <w:rFonts w:hint="eastAsia"/>
          <w:sz w:val="18"/>
          <w:szCs w:val="18"/>
          <w:u w:color="000000"/>
        </w:rPr>
        <w:t>Matiasek</w:t>
      </w:r>
      <w:proofErr w:type="spellEnd"/>
      <w:r w:rsidRPr="004863F7">
        <w:rPr>
          <w:rFonts w:hint="eastAsia"/>
          <w:sz w:val="18"/>
          <w:szCs w:val="18"/>
          <w:u w:color="000000"/>
        </w:rPr>
        <w:t xml:space="preserve"> J</w:t>
      </w:r>
      <w:r w:rsidRPr="004863F7">
        <w:rPr>
          <w:rFonts w:hint="eastAsia"/>
          <w:sz w:val="18"/>
          <w:szCs w:val="18"/>
        </w:rPr>
        <w:t xml:space="preserve"> et al. The combined use of NPWT and instillation using an </w:t>
      </w:r>
      <w:proofErr w:type="spellStart"/>
      <w:r w:rsidRPr="004863F7">
        <w:rPr>
          <w:rFonts w:hint="eastAsia"/>
          <w:sz w:val="18"/>
          <w:szCs w:val="18"/>
        </w:rPr>
        <w:t>octenidine</w:t>
      </w:r>
      <w:proofErr w:type="spellEnd"/>
      <w:r w:rsidRPr="004863F7">
        <w:rPr>
          <w:rFonts w:hint="eastAsia"/>
          <w:sz w:val="18"/>
          <w:szCs w:val="18"/>
        </w:rPr>
        <w:t xml:space="preserve"> based wound rinsing solution: a case study. </w:t>
      </w:r>
      <w:r w:rsidRPr="004863F7">
        <w:rPr>
          <w:rFonts w:hint="eastAsia"/>
          <w:sz w:val="18"/>
          <w:szCs w:val="18"/>
          <w:u w:color="000000"/>
        </w:rPr>
        <w:t>J Wound Care.</w:t>
      </w:r>
      <w:r w:rsidRPr="004863F7">
        <w:rPr>
          <w:rFonts w:hint="eastAsia"/>
          <w:sz w:val="18"/>
          <w:szCs w:val="18"/>
        </w:rPr>
        <w:t xml:space="preserve"> 2014 Nov</w:t>
      </w:r>
      <w:proofErr w:type="gramStart"/>
      <w:r w:rsidRPr="004863F7">
        <w:rPr>
          <w:rFonts w:hint="eastAsia"/>
          <w:sz w:val="18"/>
          <w:szCs w:val="18"/>
        </w:rPr>
        <w:t>;23</w:t>
      </w:r>
      <w:proofErr w:type="gramEnd"/>
      <w:r w:rsidRPr="004863F7">
        <w:rPr>
          <w:rFonts w:hint="eastAsia"/>
          <w:sz w:val="18"/>
          <w:szCs w:val="18"/>
        </w:rPr>
        <w:t>(11):590, 592-6.</w:t>
      </w:r>
    </w:p>
    <w:p w:rsidR="004863F7" w:rsidRPr="004863F7" w:rsidRDefault="004863F7" w:rsidP="004863F7">
      <w:pPr>
        <w:pStyle w:val="a4"/>
        <w:numPr>
          <w:ilvl w:val="0"/>
          <w:numId w:val="3"/>
        </w:numPr>
        <w:rPr>
          <w:sz w:val="18"/>
          <w:szCs w:val="18"/>
        </w:rPr>
      </w:pPr>
      <w:proofErr w:type="spellStart"/>
      <w:r w:rsidRPr="004863F7">
        <w:rPr>
          <w:sz w:val="18"/>
          <w:szCs w:val="18"/>
        </w:rPr>
        <w:t>Incani</w:t>
      </w:r>
      <w:proofErr w:type="spellEnd"/>
      <w:r w:rsidRPr="004863F7">
        <w:rPr>
          <w:sz w:val="18"/>
          <w:szCs w:val="18"/>
        </w:rPr>
        <w:t xml:space="preserve"> V et al. Ag5IO6: novel </w:t>
      </w:r>
      <w:proofErr w:type="spellStart"/>
      <w:r w:rsidRPr="004863F7">
        <w:rPr>
          <w:sz w:val="18"/>
          <w:szCs w:val="18"/>
        </w:rPr>
        <w:t>antibiofilm</w:t>
      </w:r>
      <w:proofErr w:type="spellEnd"/>
      <w:r w:rsidRPr="004863F7">
        <w:rPr>
          <w:sz w:val="18"/>
          <w:szCs w:val="18"/>
        </w:rPr>
        <w:t xml:space="preserve"> activity of a silver compound with application to medical devices. </w:t>
      </w:r>
      <w:proofErr w:type="spellStart"/>
      <w:r w:rsidRPr="004863F7">
        <w:rPr>
          <w:sz w:val="18"/>
          <w:szCs w:val="18"/>
        </w:rPr>
        <w:t>Int</w:t>
      </w:r>
      <w:proofErr w:type="spellEnd"/>
      <w:r w:rsidRPr="004863F7">
        <w:rPr>
          <w:sz w:val="18"/>
          <w:szCs w:val="18"/>
        </w:rPr>
        <w:t xml:space="preserve"> J </w:t>
      </w:r>
      <w:proofErr w:type="spellStart"/>
      <w:r w:rsidRPr="004863F7">
        <w:rPr>
          <w:sz w:val="18"/>
          <w:szCs w:val="18"/>
        </w:rPr>
        <w:t>Antimicrob</w:t>
      </w:r>
      <w:proofErr w:type="spellEnd"/>
      <w:r w:rsidRPr="004863F7">
        <w:rPr>
          <w:sz w:val="18"/>
          <w:szCs w:val="18"/>
        </w:rPr>
        <w:t xml:space="preserve"> Agents. 2015 Jun</w:t>
      </w:r>
      <w:proofErr w:type="gramStart"/>
      <w:r w:rsidRPr="004863F7">
        <w:rPr>
          <w:sz w:val="18"/>
          <w:szCs w:val="18"/>
        </w:rPr>
        <w:t>;45</w:t>
      </w:r>
      <w:proofErr w:type="gramEnd"/>
      <w:r w:rsidRPr="004863F7">
        <w:rPr>
          <w:sz w:val="18"/>
          <w:szCs w:val="18"/>
        </w:rPr>
        <w:t>(6):586-93.</w:t>
      </w:r>
    </w:p>
    <w:p w:rsidR="00AE3E37" w:rsidRPr="004863F7" w:rsidRDefault="004863F7" w:rsidP="008756E6">
      <w:pPr>
        <w:tabs>
          <w:tab w:val="left" w:pos="384"/>
        </w:tabs>
        <w:ind w:right="117"/>
        <w:rPr>
          <w:rFonts w:eastAsiaTheme="minorEastAsia" w:hint="eastAsia"/>
          <w:lang w:eastAsia="ko-KR"/>
        </w:rPr>
      </w:pPr>
      <w:r>
        <w:rPr>
          <w:rFonts w:eastAsiaTheme="minorEastAsia" w:hint="eastAsia"/>
          <w:lang w:eastAsia="ko-KR"/>
        </w:rPr>
        <w:t xml:space="preserve">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622D77">
      <w:pPr>
        <w:pStyle w:val="a3"/>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0950F1">
      <w:pPr>
        <w:spacing w:before="92"/>
        <w:ind w:right="4234"/>
        <w:rPr>
          <w:rFonts w:ascii="Arial"/>
          <w:sz w:val="14"/>
        </w:rPr>
      </w:pPr>
      <w:r>
        <w:rPr>
          <w:noProof/>
        </w:rPr>
        <w:t xml:space="preserve">        </w:t>
      </w:r>
    </w:p>
    <w:p w:rsidR="00AE3E37" w:rsidRDefault="00A9710C">
      <w:pPr>
        <w:spacing w:before="62"/>
        <w:ind w:left="4217" w:right="4235"/>
        <w:jc w:val="center"/>
        <w:rPr>
          <w:rFonts w:ascii="Arial"/>
          <w:sz w:val="14"/>
        </w:rPr>
      </w:pPr>
      <w:r>
        <w:rPr>
          <w:rFonts w:ascii="Arial"/>
          <w:sz w:val="14"/>
        </w:rPr>
        <w:t xml:space="preserve">Email: </w:t>
      </w:r>
      <w:hyperlink r:id="rId13" w:history="1">
        <w:r w:rsidR="000950F1" w:rsidRPr="001A2D81">
          <w:rPr>
            <w:rStyle w:val="a8"/>
            <w:rFonts w:ascii="Arial" w:eastAsiaTheme="minorEastAsia" w:hint="eastAsia"/>
            <w:sz w:val="14"/>
            <w:lang w:eastAsia="ko-KR"/>
          </w:rPr>
          <w:t>halfend</w:t>
        </w:r>
        <w:r w:rsidR="000950F1" w:rsidRPr="001A2D81">
          <w:rPr>
            <w:rStyle w:val="a8"/>
            <w:rFonts w:ascii="Arial"/>
            <w:sz w:val="14"/>
          </w:rPr>
          <w:t>@</w:t>
        </w:r>
        <w:r w:rsidR="000950F1" w:rsidRPr="001A2D81">
          <w:rPr>
            <w:rStyle w:val="a8"/>
            <w:rFonts w:ascii="Arial" w:eastAsiaTheme="minorEastAsia" w:hint="eastAsia"/>
            <w:sz w:val="14"/>
            <w:lang w:eastAsia="ko-KR"/>
          </w:rPr>
          <w:t>naver</w:t>
        </w:r>
        <w:r w:rsidR="000950F1" w:rsidRPr="001A2D81">
          <w:rPr>
            <w:rStyle w:val="a8"/>
            <w:rFonts w:ascii="Arial"/>
            <w:sz w:val="14"/>
          </w:rPr>
          <w:t>l.com</w:t>
        </w:r>
      </w:hyperlink>
    </w:p>
    <w:p w:rsidR="00AE3E37" w:rsidRPr="000950F1" w:rsidRDefault="00622D77" w:rsidP="000950F1">
      <w:pPr>
        <w:pStyle w:val="a3"/>
        <w:spacing w:before="2"/>
        <w:rPr>
          <w:rFonts w:ascii="Arial" w:eastAsiaTheme="minorEastAsia"/>
          <w:sz w:val="19"/>
          <w:lang w:eastAsia="ko-KR"/>
        </w:rPr>
      </w:pPr>
      <w:r w:rsidRPr="00622D77">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280D" w:rsidRDefault="0035280D">
      <w:r>
        <w:separator/>
      </w:r>
    </w:p>
  </w:endnote>
  <w:endnote w:type="continuationSeparator" w:id="0">
    <w:p w:rsidR="0035280D" w:rsidRDefault="0035280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굴림체">
    <w:panose1 w:val="020B0609000101010101"/>
    <w:charset w:val="81"/>
    <w:family w:val="modern"/>
    <w:pitch w:val="fixed"/>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22D77">
    <w:pPr>
      <w:pStyle w:val="a3"/>
      <w:spacing w:line="14" w:lineRule="auto"/>
      <w:rPr>
        <w:sz w:val="20"/>
      </w:rPr>
    </w:pPr>
    <w:r w:rsidRPr="00622D77">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622D77">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22D77">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280D" w:rsidRDefault="0035280D">
      <w:r>
        <w:separator/>
      </w:r>
    </w:p>
  </w:footnote>
  <w:footnote w:type="continuationSeparator" w:id="0">
    <w:p w:rsidR="0035280D" w:rsidRDefault="003528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22D77">
    <w:pPr>
      <w:pStyle w:val="a3"/>
      <w:spacing w:line="14" w:lineRule="auto"/>
      <w:rPr>
        <w:sz w:val="20"/>
      </w:rPr>
    </w:pPr>
    <w:r w:rsidRPr="00622D77">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622D77">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13314"/>
    <o:shapelayout v:ext="edit">
      <o:idmap v:ext="edit" data="4"/>
    </o:shapelayout>
  </w:hdrShapeDefaults>
  <w:footnotePr>
    <w:footnote w:id="-1"/>
    <w:footnote w:id="0"/>
  </w:footnotePr>
  <w:endnotePr>
    <w:endnote w:id="-1"/>
    <w:endnote w:id="0"/>
  </w:endnotePr>
  <w:compat>
    <w:ulTrailSpace/>
    <w:useFELayout/>
  </w:compat>
  <w:rsids>
    <w:rsidRoot w:val="00AE3E37"/>
    <w:rsid w:val="000950F1"/>
    <w:rsid w:val="000A195E"/>
    <w:rsid w:val="000B1801"/>
    <w:rsid w:val="000E2911"/>
    <w:rsid w:val="001263DF"/>
    <w:rsid w:val="00223F4F"/>
    <w:rsid w:val="00292ED9"/>
    <w:rsid w:val="0035280D"/>
    <w:rsid w:val="003A7889"/>
    <w:rsid w:val="00403D6A"/>
    <w:rsid w:val="00404E5B"/>
    <w:rsid w:val="00414F7B"/>
    <w:rsid w:val="00435313"/>
    <w:rsid w:val="004355DC"/>
    <w:rsid w:val="004749B4"/>
    <w:rsid w:val="00483D8B"/>
    <w:rsid w:val="004863F7"/>
    <w:rsid w:val="00494130"/>
    <w:rsid w:val="004B588F"/>
    <w:rsid w:val="004F3523"/>
    <w:rsid w:val="00555880"/>
    <w:rsid w:val="005973B9"/>
    <w:rsid w:val="005B3A56"/>
    <w:rsid w:val="005C4B7E"/>
    <w:rsid w:val="006060CE"/>
    <w:rsid w:val="00622D77"/>
    <w:rsid w:val="0063497F"/>
    <w:rsid w:val="0076603F"/>
    <w:rsid w:val="00864E52"/>
    <w:rsid w:val="00873DF0"/>
    <w:rsid w:val="008756E6"/>
    <w:rsid w:val="00904B64"/>
    <w:rsid w:val="0091527A"/>
    <w:rsid w:val="00932468"/>
    <w:rsid w:val="009634C7"/>
    <w:rsid w:val="009B2D44"/>
    <w:rsid w:val="00A07E82"/>
    <w:rsid w:val="00A9710C"/>
    <w:rsid w:val="00AC3A0A"/>
    <w:rsid w:val="00AE3E37"/>
    <w:rsid w:val="00B21A57"/>
    <w:rsid w:val="00BB4060"/>
    <w:rsid w:val="00BF7FA2"/>
    <w:rsid w:val="00C33602"/>
    <w:rsid w:val="00CD6F55"/>
    <w:rsid w:val="00DE3104"/>
    <w:rsid w:val="00DF4E14"/>
    <w:rsid w:val="00E85585"/>
    <w:rsid w:val="00EB2F7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MS">
    <w:name w:val="MS바탕글"/>
    <w:basedOn w:val="a"/>
    <w:rsid w:val="00AC3A0A"/>
    <w:pPr>
      <w:widowControl/>
      <w:snapToGrid w:val="0"/>
      <w:spacing w:line="384" w:lineRule="auto"/>
      <w:jc w:val="both"/>
    </w:pPr>
    <w:rPr>
      <w:rFonts w:ascii="바탕" w:eastAsia="바탕" w:hAnsi="Times New Roman" w:cs="굴림"/>
      <w:color w:val="000000"/>
      <w:sz w:val="20"/>
      <w:szCs w:val="20"/>
      <w:lang w:eastAsia="ko-KR"/>
    </w:rPr>
  </w:style>
  <w:style w:type="paragraph" w:customStyle="1" w:styleId="a9">
    <w:name w:val="바탕글"/>
    <w:basedOn w:val="a"/>
    <w:rsid w:val="00AC3A0A"/>
    <w:pPr>
      <w:widowControl/>
      <w:snapToGrid w:val="0"/>
      <w:spacing w:line="384" w:lineRule="auto"/>
      <w:jc w:val="both"/>
    </w:pPr>
    <w:rPr>
      <w:rFonts w:ascii="바탕" w:eastAsia="바탕" w:hAnsi="바탕" w:cs="굴림"/>
      <w:color w:val="000000"/>
      <w:sz w:val="20"/>
      <w:szCs w:val="20"/>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85464940">
      <w:bodyDiv w:val="1"/>
      <w:marLeft w:val="0"/>
      <w:marRight w:val="0"/>
      <w:marTop w:val="0"/>
      <w:marBottom w:val="0"/>
      <w:divBdr>
        <w:top w:val="none" w:sz="0" w:space="0" w:color="auto"/>
        <w:left w:val="none" w:sz="0" w:space="0" w:color="auto"/>
        <w:bottom w:val="none" w:sz="0" w:space="0" w:color="auto"/>
        <w:right w:val="none" w:sz="0" w:space="0" w:color="auto"/>
      </w:divBdr>
    </w:div>
    <w:div w:id="211383811">
      <w:bodyDiv w:val="1"/>
      <w:marLeft w:val="0"/>
      <w:marRight w:val="0"/>
      <w:marTop w:val="0"/>
      <w:marBottom w:val="0"/>
      <w:divBdr>
        <w:top w:val="none" w:sz="0" w:space="0" w:color="auto"/>
        <w:left w:val="none" w:sz="0" w:space="0" w:color="auto"/>
        <w:bottom w:val="none" w:sz="0" w:space="0" w:color="auto"/>
        <w:right w:val="none" w:sz="0" w:space="0" w:color="auto"/>
      </w:divBdr>
    </w:div>
    <w:div w:id="283586998">
      <w:bodyDiv w:val="1"/>
      <w:marLeft w:val="0"/>
      <w:marRight w:val="0"/>
      <w:marTop w:val="0"/>
      <w:marBottom w:val="0"/>
      <w:divBdr>
        <w:top w:val="none" w:sz="0" w:space="0" w:color="auto"/>
        <w:left w:val="none" w:sz="0" w:space="0" w:color="auto"/>
        <w:bottom w:val="none" w:sz="0" w:space="0" w:color="auto"/>
        <w:right w:val="none" w:sz="0" w:space="0" w:color="auto"/>
      </w:divBdr>
    </w:div>
    <w:div w:id="50563505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67791839">
      <w:bodyDiv w:val="1"/>
      <w:marLeft w:val="0"/>
      <w:marRight w:val="0"/>
      <w:marTop w:val="0"/>
      <w:marBottom w:val="0"/>
      <w:divBdr>
        <w:top w:val="none" w:sz="0" w:space="0" w:color="auto"/>
        <w:left w:val="none" w:sz="0" w:space="0" w:color="auto"/>
        <w:bottom w:val="none" w:sz="0" w:space="0" w:color="auto"/>
        <w:right w:val="none" w:sz="0" w:space="0" w:color="auto"/>
      </w:divBdr>
    </w:div>
    <w:div w:id="1007093438">
      <w:bodyDiv w:val="1"/>
      <w:marLeft w:val="0"/>
      <w:marRight w:val="0"/>
      <w:marTop w:val="0"/>
      <w:marBottom w:val="0"/>
      <w:divBdr>
        <w:top w:val="none" w:sz="0" w:space="0" w:color="auto"/>
        <w:left w:val="none" w:sz="0" w:space="0" w:color="auto"/>
        <w:bottom w:val="none" w:sz="0" w:space="0" w:color="auto"/>
        <w:right w:val="none" w:sz="0" w:space="0" w:color="auto"/>
      </w:divBdr>
    </w:div>
    <w:div w:id="1019772855">
      <w:bodyDiv w:val="1"/>
      <w:marLeft w:val="0"/>
      <w:marRight w:val="0"/>
      <w:marTop w:val="0"/>
      <w:marBottom w:val="0"/>
      <w:divBdr>
        <w:top w:val="none" w:sz="0" w:space="0" w:color="auto"/>
        <w:left w:val="none" w:sz="0" w:space="0" w:color="auto"/>
        <w:bottom w:val="none" w:sz="0" w:space="0" w:color="auto"/>
        <w:right w:val="none" w:sz="0" w:space="0" w:color="auto"/>
      </w:divBdr>
    </w:div>
    <w:div w:id="1202522050">
      <w:bodyDiv w:val="1"/>
      <w:marLeft w:val="0"/>
      <w:marRight w:val="0"/>
      <w:marTop w:val="0"/>
      <w:marBottom w:val="0"/>
      <w:divBdr>
        <w:top w:val="none" w:sz="0" w:space="0" w:color="auto"/>
        <w:left w:val="none" w:sz="0" w:space="0" w:color="auto"/>
        <w:bottom w:val="none" w:sz="0" w:space="0" w:color="auto"/>
        <w:right w:val="none" w:sz="0" w:space="0" w:color="auto"/>
      </w:divBdr>
    </w:div>
    <w:div w:id="1211573562">
      <w:bodyDiv w:val="1"/>
      <w:marLeft w:val="0"/>
      <w:marRight w:val="0"/>
      <w:marTop w:val="0"/>
      <w:marBottom w:val="0"/>
      <w:divBdr>
        <w:top w:val="none" w:sz="0" w:space="0" w:color="auto"/>
        <w:left w:val="none" w:sz="0" w:space="0" w:color="auto"/>
        <w:bottom w:val="none" w:sz="0" w:space="0" w:color="auto"/>
        <w:right w:val="none" w:sz="0" w:space="0" w:color="auto"/>
      </w:divBdr>
    </w:div>
    <w:div w:id="1259293037">
      <w:bodyDiv w:val="1"/>
      <w:marLeft w:val="0"/>
      <w:marRight w:val="0"/>
      <w:marTop w:val="0"/>
      <w:marBottom w:val="0"/>
      <w:divBdr>
        <w:top w:val="none" w:sz="0" w:space="0" w:color="auto"/>
        <w:left w:val="none" w:sz="0" w:space="0" w:color="auto"/>
        <w:bottom w:val="none" w:sz="0" w:space="0" w:color="auto"/>
        <w:right w:val="none" w:sz="0" w:space="0" w:color="auto"/>
      </w:divBdr>
    </w:div>
    <w:div w:id="1270621110">
      <w:bodyDiv w:val="1"/>
      <w:marLeft w:val="0"/>
      <w:marRight w:val="0"/>
      <w:marTop w:val="0"/>
      <w:marBottom w:val="0"/>
      <w:divBdr>
        <w:top w:val="none" w:sz="0" w:space="0" w:color="auto"/>
        <w:left w:val="none" w:sz="0" w:space="0" w:color="auto"/>
        <w:bottom w:val="none" w:sz="0" w:space="0" w:color="auto"/>
        <w:right w:val="none" w:sz="0" w:space="0" w:color="auto"/>
      </w:divBdr>
    </w:div>
    <w:div w:id="1284577213">
      <w:bodyDiv w:val="1"/>
      <w:marLeft w:val="0"/>
      <w:marRight w:val="0"/>
      <w:marTop w:val="0"/>
      <w:marBottom w:val="0"/>
      <w:divBdr>
        <w:top w:val="none" w:sz="0" w:space="0" w:color="auto"/>
        <w:left w:val="none" w:sz="0" w:space="0" w:color="auto"/>
        <w:bottom w:val="none" w:sz="0" w:space="0" w:color="auto"/>
        <w:right w:val="none" w:sz="0" w:space="0" w:color="auto"/>
      </w:divBdr>
    </w:div>
    <w:div w:id="1347757561">
      <w:bodyDiv w:val="1"/>
      <w:marLeft w:val="0"/>
      <w:marRight w:val="0"/>
      <w:marTop w:val="0"/>
      <w:marBottom w:val="0"/>
      <w:divBdr>
        <w:top w:val="none" w:sz="0" w:space="0" w:color="auto"/>
        <w:left w:val="none" w:sz="0" w:space="0" w:color="auto"/>
        <w:bottom w:val="none" w:sz="0" w:space="0" w:color="auto"/>
        <w:right w:val="none" w:sz="0" w:space="0" w:color="auto"/>
      </w:divBdr>
    </w:div>
    <w:div w:id="1390685656">
      <w:bodyDiv w:val="1"/>
      <w:marLeft w:val="0"/>
      <w:marRight w:val="0"/>
      <w:marTop w:val="0"/>
      <w:marBottom w:val="0"/>
      <w:divBdr>
        <w:top w:val="none" w:sz="0" w:space="0" w:color="auto"/>
        <w:left w:val="none" w:sz="0" w:space="0" w:color="auto"/>
        <w:bottom w:val="none" w:sz="0" w:space="0" w:color="auto"/>
        <w:right w:val="none" w:sz="0" w:space="0" w:color="auto"/>
      </w:divBdr>
    </w:div>
    <w:div w:id="143327812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57618132">
      <w:bodyDiv w:val="1"/>
      <w:marLeft w:val="0"/>
      <w:marRight w:val="0"/>
      <w:marTop w:val="0"/>
      <w:marBottom w:val="0"/>
      <w:divBdr>
        <w:top w:val="none" w:sz="0" w:space="0" w:color="auto"/>
        <w:left w:val="none" w:sz="0" w:space="0" w:color="auto"/>
        <w:bottom w:val="none" w:sz="0" w:space="0" w:color="auto"/>
        <w:right w:val="none" w:sz="0" w:space="0" w:color="auto"/>
      </w:divBdr>
    </w:div>
    <w:div w:id="1580019750">
      <w:bodyDiv w:val="1"/>
      <w:marLeft w:val="0"/>
      <w:marRight w:val="0"/>
      <w:marTop w:val="0"/>
      <w:marBottom w:val="0"/>
      <w:divBdr>
        <w:top w:val="none" w:sz="0" w:space="0" w:color="auto"/>
        <w:left w:val="none" w:sz="0" w:space="0" w:color="auto"/>
        <w:bottom w:val="none" w:sz="0" w:space="0" w:color="auto"/>
        <w:right w:val="none" w:sz="0" w:space="0" w:color="auto"/>
      </w:divBdr>
    </w:div>
    <w:div w:id="1675108023">
      <w:bodyDiv w:val="1"/>
      <w:marLeft w:val="0"/>
      <w:marRight w:val="0"/>
      <w:marTop w:val="0"/>
      <w:marBottom w:val="0"/>
      <w:divBdr>
        <w:top w:val="none" w:sz="0" w:space="0" w:color="auto"/>
        <w:left w:val="none" w:sz="0" w:space="0" w:color="auto"/>
        <w:bottom w:val="none" w:sz="0" w:space="0" w:color="auto"/>
        <w:right w:val="none" w:sz="0" w:space="0" w:color="auto"/>
      </w:divBdr>
    </w:div>
    <w:div w:id="19461145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halfend@naver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ncbi.nlm.nih.gov/pubmed/23277219" TargetMode="Externa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bi.nlm.nih.gov/pubmed/?term=Arhi%20C%5BAuthor%5D&amp;cauthor=true&amp;cauthor_uid=23277219"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____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ko-KR"/>
  <c:chart>
    <c:autoTitleDeleted val="1"/>
    <c:plotArea>
      <c:layout>
        <c:manualLayout>
          <c:layoutTarget val="inner"/>
          <c:xMode val="edge"/>
          <c:yMode val="edge"/>
          <c:x val="0.27861962754796232"/>
          <c:y val="2.4661778822712435E-2"/>
          <c:w val="0.69841740881940528"/>
          <c:h val="0.69672153325054886"/>
        </c:manualLayout>
      </c:layout>
      <c:barChart>
        <c:barDir val="col"/>
        <c:grouping val="clustered"/>
        <c:ser>
          <c:idx val="0"/>
          <c:order val="0"/>
          <c:tx>
            <c:strRef>
              <c:f>Sheet1!$B$1</c:f>
              <c:strCache>
                <c:ptCount val="1"/>
                <c:pt idx="0">
                  <c:v> conventional foam</c:v>
                </c:pt>
              </c:strCache>
            </c:strRef>
          </c:tx>
          <c:cat>
            <c:strRef>
              <c:f>Sheet1!$A$2:$A$4</c:f>
              <c:strCache>
                <c:ptCount val="3"/>
                <c:pt idx="0">
                  <c:v>Escherichia coli</c:v>
                </c:pt>
                <c:pt idx="1">
                  <c:v>Pseudomonas aeruginosa</c:v>
                </c:pt>
                <c:pt idx="2">
                  <c:v>Staphylococcus aureus</c:v>
                </c:pt>
              </c:strCache>
            </c:strRef>
          </c:cat>
          <c:val>
            <c:numRef>
              <c:f>Sheet1!$B$2:$B$4</c:f>
              <c:numCache>
                <c:formatCode>General</c:formatCode>
                <c:ptCount val="3"/>
                <c:pt idx="0">
                  <c:v>60</c:v>
                </c:pt>
                <c:pt idx="1">
                  <c:v>101</c:v>
                </c:pt>
                <c:pt idx="2">
                  <c:v>207</c:v>
                </c:pt>
              </c:numCache>
            </c:numRef>
          </c:val>
        </c:ser>
        <c:ser>
          <c:idx val="1"/>
          <c:order val="1"/>
          <c:tx>
            <c:strRef>
              <c:f>Sheet1!$C$1</c:f>
              <c:strCache>
                <c:ptCount val="1"/>
                <c:pt idx="0">
                  <c:v>silver foam</c:v>
                </c:pt>
              </c:strCache>
            </c:strRef>
          </c:tx>
          <c:cat>
            <c:strRef>
              <c:f>Sheet1!$A$2:$A$4</c:f>
              <c:strCache>
                <c:ptCount val="3"/>
                <c:pt idx="0">
                  <c:v>Escherichia coli</c:v>
                </c:pt>
                <c:pt idx="1">
                  <c:v>Pseudomonas aeruginosa</c:v>
                </c:pt>
                <c:pt idx="2">
                  <c:v>Staphylococcus aureus</c:v>
                </c:pt>
              </c:strCache>
            </c:strRef>
          </c:cat>
          <c:val>
            <c:numRef>
              <c:f>Sheet1!$C$2:$C$4</c:f>
              <c:numCache>
                <c:formatCode>General</c:formatCode>
                <c:ptCount val="3"/>
                <c:pt idx="0">
                  <c:v>18</c:v>
                </c:pt>
                <c:pt idx="1">
                  <c:v>58</c:v>
                </c:pt>
                <c:pt idx="2">
                  <c:v>137</c:v>
                </c:pt>
              </c:numCache>
            </c:numRef>
          </c:val>
        </c:ser>
        <c:axId val="133261568"/>
        <c:axId val="133273088"/>
      </c:barChart>
      <c:catAx>
        <c:axId val="133261568"/>
        <c:scaling>
          <c:orientation val="minMax"/>
        </c:scaling>
        <c:axPos val="b"/>
        <c:majorTickMark val="none"/>
        <c:tickLblPos val="nextTo"/>
        <c:spPr>
          <a:ln>
            <a:solidFill>
              <a:srgbClr val="E7E6E6">
                <a:lumMod val="75000"/>
              </a:srgbClr>
            </a:solidFill>
          </a:ln>
        </c:spPr>
        <c:crossAx val="133273088"/>
        <c:crosses val="autoZero"/>
        <c:auto val="1"/>
        <c:lblAlgn val="ctr"/>
        <c:lblOffset val="100"/>
      </c:catAx>
      <c:valAx>
        <c:axId val="133273088"/>
        <c:scaling>
          <c:orientation val="minMax"/>
        </c:scaling>
        <c:axPos val="l"/>
        <c:majorGridlines/>
        <c:numFmt formatCode="General" sourceLinked="1"/>
        <c:majorTickMark val="none"/>
        <c:tickLblPos val="nextTo"/>
        <c:spPr>
          <a:ln>
            <a:noFill/>
          </a:ln>
        </c:spPr>
        <c:txPr>
          <a:bodyPr/>
          <a:lstStyle/>
          <a:p>
            <a:pPr>
              <a:defRPr sz="900"/>
            </a:pPr>
            <a:endParaRPr lang="ko-KR"/>
          </a:p>
        </c:txPr>
        <c:crossAx val="133261568"/>
        <c:crosses val="autoZero"/>
        <c:crossBetween val="between"/>
      </c:valAx>
      <c:dTable>
        <c:showHorzBorder val="1"/>
        <c:showVertBorder val="1"/>
        <c:showOutline val="1"/>
        <c:showKeys val="1"/>
        <c:txPr>
          <a:bodyPr/>
          <a:lstStyle/>
          <a:p>
            <a:pPr rtl="0">
              <a:defRPr sz="900"/>
            </a:pPr>
            <a:endParaRPr lang="ko-KR"/>
          </a:p>
        </c:txPr>
      </c:dTable>
      <c:spPr>
        <a:ln>
          <a:noFill/>
        </a:ln>
      </c:spPr>
    </c:plotArea>
    <c:plotVisOnly val="1"/>
  </c:chart>
  <c:spPr>
    <a:noFill/>
    <a:ln>
      <a:noFill/>
    </a:ln>
  </c:spPr>
  <c:txPr>
    <a:bodyPr/>
    <a:lstStyle/>
    <a:p>
      <a:pPr>
        <a:defRPr sz="1800"/>
      </a:pPr>
      <a:endParaRPr lang="ko-KR"/>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ko-KR"/>
  <c:style val="4"/>
  <c:chart>
    <c:autoTitleDeleted val="1"/>
    <c:plotArea>
      <c:layout/>
      <c:barChart>
        <c:barDir val="col"/>
        <c:grouping val="clustered"/>
        <c:ser>
          <c:idx val="0"/>
          <c:order val="0"/>
          <c:tx>
            <c:strRef>
              <c:f>'Sheet1'!$B$1</c:f>
              <c:strCache>
                <c:ptCount val="1"/>
                <c:pt idx="0">
                  <c:v>original NPWT system</c:v>
                </c:pt>
              </c:strCache>
            </c:strRef>
          </c:tx>
          <c:spPr>
            <a:solidFill>
              <a:schemeClr val="accent6"/>
            </a:solidFill>
            <a:ln w="12700" cap="flat" cmpd="sng" algn="ctr">
              <a:solidFill>
                <a:schemeClr val="accent6">
                  <a:shade val="50000"/>
                </a:schemeClr>
              </a:solidFill>
              <a:prstDash val="solid"/>
              <a:miter lim="800000"/>
            </a:ln>
            <a:effectLst/>
          </c:spPr>
          <c:cat>
            <c:strRef>
              <c:f>'Sheet1'!$A$2:$A$4</c:f>
              <c:strCache>
                <c:ptCount val="3"/>
                <c:pt idx="0">
                  <c:v>Escherichia coli</c:v>
                </c:pt>
                <c:pt idx="1">
                  <c:v>Pseudomonas aeruginosa</c:v>
                </c:pt>
                <c:pt idx="2">
                  <c:v>Staphylococcus aureus</c:v>
                </c:pt>
              </c:strCache>
            </c:strRef>
          </c:cat>
          <c:val>
            <c:numRef>
              <c:f>'Sheet1'!$B$2:$B$4</c:f>
              <c:numCache>
                <c:formatCode>General</c:formatCode>
                <c:ptCount val="3"/>
                <c:pt idx="0">
                  <c:v>35</c:v>
                </c:pt>
                <c:pt idx="1">
                  <c:v>52</c:v>
                </c:pt>
                <c:pt idx="2">
                  <c:v>81</c:v>
                </c:pt>
              </c:numCache>
            </c:numRef>
          </c:val>
        </c:ser>
        <c:ser>
          <c:idx val="1"/>
          <c:order val="1"/>
          <c:tx>
            <c:strRef>
              <c:f>'Sheet1'!$C$1</c:f>
              <c:strCache>
                <c:ptCount val="1"/>
                <c:pt idx="0">
                  <c:v>silver-coated NPWT system</c:v>
                </c:pt>
              </c:strCache>
            </c:strRef>
          </c:tx>
          <c:spPr>
            <a:solidFill>
              <a:schemeClr val="accent4"/>
            </a:solidFill>
            <a:ln w="12700" cap="flat" cmpd="sng" algn="ctr">
              <a:solidFill>
                <a:schemeClr val="accent4">
                  <a:shade val="50000"/>
                </a:schemeClr>
              </a:solidFill>
              <a:prstDash val="solid"/>
              <a:miter lim="800000"/>
            </a:ln>
            <a:effectLst/>
          </c:spPr>
          <c:cat>
            <c:strRef>
              <c:f>'Sheet1'!$A$2:$A$4</c:f>
              <c:strCache>
                <c:ptCount val="3"/>
                <c:pt idx="0">
                  <c:v>Escherichia coli</c:v>
                </c:pt>
                <c:pt idx="1">
                  <c:v>Pseudomonas aeruginosa</c:v>
                </c:pt>
                <c:pt idx="2">
                  <c:v>Staphylococcus aureus</c:v>
                </c:pt>
              </c:strCache>
            </c:strRef>
          </c:cat>
          <c:val>
            <c:numRef>
              <c:f>'Sheet1'!$C$2:$C$4</c:f>
              <c:numCache>
                <c:formatCode>General</c:formatCode>
                <c:ptCount val="3"/>
                <c:pt idx="0">
                  <c:v>5</c:v>
                </c:pt>
                <c:pt idx="1">
                  <c:v>31</c:v>
                </c:pt>
                <c:pt idx="2">
                  <c:v>28</c:v>
                </c:pt>
              </c:numCache>
            </c:numRef>
          </c:val>
        </c:ser>
        <c:axId val="134884736"/>
        <c:axId val="136959488"/>
      </c:barChart>
      <c:catAx>
        <c:axId val="134884736"/>
        <c:scaling>
          <c:orientation val="minMax"/>
        </c:scaling>
        <c:axPos val="b"/>
        <c:majorTickMark val="none"/>
        <c:tickLblPos val="nextTo"/>
        <c:crossAx val="136959488"/>
        <c:crosses val="autoZero"/>
        <c:auto val="1"/>
        <c:lblAlgn val="ctr"/>
        <c:lblOffset val="100"/>
      </c:catAx>
      <c:valAx>
        <c:axId val="136959488"/>
        <c:scaling>
          <c:orientation val="minMax"/>
          <c:max val="250"/>
          <c:min val="0"/>
        </c:scaling>
        <c:axPos val="l"/>
        <c:majorGridlines/>
        <c:numFmt formatCode="General" sourceLinked="1"/>
        <c:majorTickMark val="none"/>
        <c:tickLblPos val="nextTo"/>
        <c:spPr>
          <a:ln>
            <a:noFill/>
          </a:ln>
        </c:spPr>
        <c:txPr>
          <a:bodyPr/>
          <a:lstStyle/>
          <a:p>
            <a:pPr>
              <a:defRPr sz="900"/>
            </a:pPr>
            <a:endParaRPr lang="ko-KR"/>
          </a:p>
        </c:txPr>
        <c:crossAx val="134884736"/>
        <c:crosses val="autoZero"/>
        <c:crossBetween val="between"/>
        <c:majorUnit val="50"/>
      </c:valAx>
      <c:dTable>
        <c:showHorzBorder val="1"/>
        <c:showVertBorder val="1"/>
        <c:showOutline val="1"/>
        <c:showKeys val="1"/>
        <c:txPr>
          <a:bodyPr/>
          <a:lstStyle/>
          <a:p>
            <a:pPr rtl="0">
              <a:defRPr sz="900"/>
            </a:pPr>
            <a:endParaRPr lang="ko-KR"/>
          </a:p>
        </c:txPr>
      </c:dTable>
    </c:plotArea>
    <c:plotVisOnly val="1"/>
  </c:chart>
  <c:spPr>
    <a:noFill/>
    <a:ln>
      <a:noFill/>
    </a:ln>
  </c:spPr>
  <c:txPr>
    <a:bodyPr/>
    <a:lstStyle/>
    <a:p>
      <a:pPr>
        <a:defRPr sz="1800"/>
      </a:pPr>
      <a:endParaRPr lang="ko-KR"/>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691</TotalTime>
  <Pages>1</Pages>
  <Words>542</Words>
  <Characters>3092</Characters>
  <Application>Microsoft Office Word</Application>
  <DocSecurity>0</DocSecurity>
  <Lines>25</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Holy</cp:lastModifiedBy>
  <cp:revision>12</cp:revision>
  <dcterms:created xsi:type="dcterms:W3CDTF">2016-10-03T10:02:00Z</dcterms:created>
  <dcterms:modified xsi:type="dcterms:W3CDTF">2017-07-20T05:24:00Z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