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B6D" w:rsidRDefault="00F97B6D" w:rsidP="00F97B6D">
      <w:pPr>
        <w:spacing w:after="0" w:line="240" w:lineRule="auto"/>
        <w:jc w:val="both"/>
        <w:rPr>
          <w:rFonts w:ascii="Times New Roman" w:hAnsi="Times New Roman" w:cs="Times New Roman"/>
          <w:b/>
          <w:color w:val="365F91" w:themeColor="accent1" w:themeShade="BF"/>
          <w:lang w:val="en-US"/>
        </w:rPr>
      </w:pPr>
      <w:bookmarkStart w:id="0" w:name="_GoBack"/>
      <w:bookmarkEnd w:id="0"/>
      <w:r w:rsidRPr="00F97B6D">
        <w:rPr>
          <w:rFonts w:ascii="Times New Roman" w:hAnsi="Times New Roman" w:cs="Times New Roman"/>
          <w:b/>
          <w:color w:val="365F91" w:themeColor="accent1" w:themeShade="BF"/>
          <w:lang w:val="en-US"/>
        </w:rPr>
        <w:t>Wound care: can we improve quality with a software?</w:t>
      </w:r>
    </w:p>
    <w:p w:rsidR="00F97B6D" w:rsidRPr="005C2BF5" w:rsidRDefault="00F97B6D" w:rsidP="00F97B6D">
      <w:pPr>
        <w:spacing w:after="0" w:line="240" w:lineRule="auto"/>
        <w:jc w:val="both"/>
        <w:rPr>
          <w:rFonts w:ascii="Times New Roman" w:hAnsi="Times New Roman" w:cs="Times New Roman"/>
          <w:b/>
          <w:color w:val="365F91" w:themeColor="accent1" w:themeShade="BF"/>
          <w:lang w:val="en-US"/>
        </w:rPr>
      </w:pPr>
    </w:p>
    <w:p w:rsidR="00F97B6D" w:rsidRPr="00F97B6D" w:rsidRDefault="00F97B6D" w:rsidP="00F97B6D">
      <w:pPr>
        <w:spacing w:after="0" w:line="240" w:lineRule="auto"/>
        <w:jc w:val="both"/>
        <w:rPr>
          <w:rFonts w:ascii="Times New Roman" w:hAnsi="Times New Roman" w:cs="Times New Roman"/>
          <w:b/>
          <w:color w:val="365F91" w:themeColor="accent1" w:themeShade="BF"/>
        </w:rPr>
      </w:pPr>
      <w:r w:rsidRPr="00F97B6D">
        <w:rPr>
          <w:rFonts w:ascii="Times New Roman" w:hAnsi="Times New Roman" w:cs="Times New Roman"/>
          <w:b/>
          <w:color w:val="365F91" w:themeColor="accent1" w:themeShade="BF"/>
        </w:rPr>
        <w:t>RAGUSA R*,  RUSSO C °, RAINERI R^, LOMBARDO A **, QUATTROCCHI R***.</w:t>
      </w:r>
    </w:p>
    <w:p w:rsidR="00F97B6D" w:rsidRPr="00F97B6D" w:rsidRDefault="00F97B6D" w:rsidP="00F97B6D">
      <w:pPr>
        <w:spacing w:after="0" w:line="240" w:lineRule="auto"/>
        <w:jc w:val="both"/>
        <w:rPr>
          <w:rFonts w:ascii="Times New Roman" w:hAnsi="Times New Roman" w:cs="Times New Roman"/>
          <w:b/>
          <w:color w:val="365F91" w:themeColor="accent1" w:themeShade="BF"/>
        </w:rPr>
      </w:pPr>
    </w:p>
    <w:p w:rsidR="00F97B6D" w:rsidRPr="00F97B6D" w:rsidRDefault="00F97B6D" w:rsidP="00F97B6D">
      <w:pPr>
        <w:spacing w:after="0" w:line="240" w:lineRule="auto"/>
        <w:jc w:val="both"/>
        <w:rPr>
          <w:rFonts w:ascii="Times New Roman" w:hAnsi="Times New Roman" w:cs="Times New Roman"/>
          <w:b/>
          <w:color w:val="365F91" w:themeColor="accent1" w:themeShade="BF"/>
        </w:rPr>
      </w:pPr>
      <w:r w:rsidRPr="00F97B6D">
        <w:rPr>
          <w:rFonts w:ascii="Times New Roman" w:hAnsi="Times New Roman" w:cs="Times New Roman"/>
          <w:b/>
          <w:color w:val="365F91" w:themeColor="accent1" w:themeShade="BF"/>
        </w:rPr>
        <w:t>*</w:t>
      </w:r>
      <w:proofErr w:type="spellStart"/>
      <w:r>
        <w:rPr>
          <w:rFonts w:ascii="Times New Roman" w:hAnsi="Times New Roman" w:cs="Times New Roman"/>
          <w:b/>
          <w:color w:val="365F91" w:themeColor="accent1" w:themeShade="BF"/>
        </w:rPr>
        <w:t>President</w:t>
      </w:r>
      <w:proofErr w:type="spellEnd"/>
      <w:r w:rsidRPr="00F97B6D">
        <w:rPr>
          <w:rFonts w:ascii="Times New Roman" w:hAnsi="Times New Roman" w:cs="Times New Roman"/>
          <w:b/>
          <w:color w:val="365F91" w:themeColor="accent1" w:themeShade="BF"/>
        </w:rPr>
        <w:t xml:space="preserve"> HTA</w:t>
      </w:r>
      <w:r>
        <w:rPr>
          <w:rFonts w:ascii="Times New Roman" w:hAnsi="Times New Roman" w:cs="Times New Roman"/>
          <w:b/>
          <w:color w:val="365F91" w:themeColor="accent1" w:themeShade="BF"/>
        </w:rPr>
        <w:t xml:space="preserve"> Committee</w:t>
      </w:r>
      <w:r w:rsidRPr="00F97B6D">
        <w:rPr>
          <w:rFonts w:ascii="Times New Roman" w:hAnsi="Times New Roman" w:cs="Times New Roman"/>
          <w:b/>
          <w:color w:val="365F91" w:themeColor="accent1" w:themeShade="BF"/>
        </w:rPr>
        <w:t xml:space="preserve"> AOU </w:t>
      </w:r>
      <w:proofErr w:type="spellStart"/>
      <w:r w:rsidRPr="00F97B6D">
        <w:rPr>
          <w:rFonts w:ascii="Times New Roman" w:hAnsi="Times New Roman" w:cs="Times New Roman"/>
          <w:b/>
          <w:color w:val="365F91" w:themeColor="accent1" w:themeShade="BF"/>
        </w:rPr>
        <w:t>Policlinico-V.Emanuele</w:t>
      </w:r>
      <w:proofErr w:type="spellEnd"/>
      <w:r w:rsidRPr="00F97B6D">
        <w:rPr>
          <w:rFonts w:ascii="Times New Roman" w:hAnsi="Times New Roman" w:cs="Times New Roman"/>
          <w:b/>
          <w:color w:val="365F91" w:themeColor="accent1" w:themeShade="BF"/>
        </w:rPr>
        <w:t xml:space="preserve"> Catania</w:t>
      </w:r>
      <w:r w:rsidR="00763BE2">
        <w:rPr>
          <w:rFonts w:ascii="Times New Roman" w:hAnsi="Times New Roman" w:cs="Times New Roman"/>
          <w:b/>
          <w:color w:val="365F91" w:themeColor="accent1" w:themeShade="BF"/>
        </w:rPr>
        <w:t xml:space="preserve">, </w:t>
      </w:r>
      <w:proofErr w:type="spellStart"/>
      <w:r w:rsidR="00763BE2">
        <w:rPr>
          <w:rFonts w:ascii="Times New Roman" w:hAnsi="Times New Roman" w:cs="Times New Roman"/>
          <w:b/>
          <w:color w:val="365F91" w:themeColor="accent1" w:themeShade="BF"/>
        </w:rPr>
        <w:t>Italy</w:t>
      </w:r>
      <w:proofErr w:type="spellEnd"/>
    </w:p>
    <w:p w:rsidR="00F97B6D" w:rsidRPr="00F97B6D" w:rsidRDefault="00F97B6D" w:rsidP="00F97B6D">
      <w:pPr>
        <w:spacing w:after="0" w:line="240" w:lineRule="auto"/>
        <w:jc w:val="both"/>
        <w:rPr>
          <w:rFonts w:ascii="Times New Roman" w:hAnsi="Times New Roman" w:cs="Times New Roman"/>
          <w:b/>
          <w:color w:val="365F91" w:themeColor="accent1" w:themeShade="BF"/>
        </w:rPr>
      </w:pPr>
      <w:r w:rsidRPr="00F97B6D">
        <w:rPr>
          <w:rFonts w:ascii="Times New Roman" w:hAnsi="Times New Roman" w:cs="Times New Roman"/>
          <w:b/>
          <w:color w:val="365F91" w:themeColor="accent1" w:themeShade="BF"/>
        </w:rPr>
        <w:t>°</w:t>
      </w:r>
      <w:r>
        <w:rPr>
          <w:rFonts w:ascii="Times New Roman" w:hAnsi="Times New Roman" w:cs="Times New Roman"/>
          <w:b/>
          <w:color w:val="365F91" w:themeColor="accent1" w:themeShade="BF"/>
        </w:rPr>
        <w:t xml:space="preserve"> </w:t>
      </w:r>
      <w:r w:rsidRPr="00F97B6D">
        <w:rPr>
          <w:rFonts w:ascii="Times New Roman" w:hAnsi="Times New Roman" w:cs="Times New Roman"/>
          <w:b/>
          <w:color w:val="365F91" w:themeColor="accent1" w:themeShade="BF"/>
        </w:rPr>
        <w:t xml:space="preserve">Dr Nursing Service Manager </w:t>
      </w:r>
      <w:r w:rsidRPr="00F97B6D">
        <w:rPr>
          <w:rFonts w:ascii="Times New Roman" w:hAnsi="Times New Roman" w:cs="Times New Roman"/>
          <w:b/>
          <w:color w:val="365F91" w:themeColor="accent1" w:themeShade="BF"/>
        </w:rPr>
        <w:t xml:space="preserve">P.O. V. Emanuele AOU </w:t>
      </w:r>
      <w:proofErr w:type="spellStart"/>
      <w:r w:rsidRPr="00F97B6D">
        <w:rPr>
          <w:rFonts w:ascii="Times New Roman" w:hAnsi="Times New Roman" w:cs="Times New Roman"/>
          <w:b/>
          <w:color w:val="365F91" w:themeColor="accent1" w:themeShade="BF"/>
        </w:rPr>
        <w:t>Policlinico-V.Emanuele</w:t>
      </w:r>
      <w:proofErr w:type="spellEnd"/>
      <w:r w:rsidRPr="00F97B6D">
        <w:rPr>
          <w:rFonts w:ascii="Times New Roman" w:hAnsi="Times New Roman" w:cs="Times New Roman"/>
          <w:b/>
          <w:color w:val="365F91" w:themeColor="accent1" w:themeShade="BF"/>
        </w:rPr>
        <w:t xml:space="preserve"> Catania</w:t>
      </w:r>
      <w:r>
        <w:rPr>
          <w:rFonts w:ascii="Times New Roman" w:hAnsi="Times New Roman" w:cs="Times New Roman"/>
          <w:b/>
          <w:color w:val="365F91" w:themeColor="accent1" w:themeShade="BF"/>
        </w:rPr>
        <w:t xml:space="preserve">, </w:t>
      </w:r>
      <w:proofErr w:type="spellStart"/>
      <w:r>
        <w:rPr>
          <w:rFonts w:ascii="Times New Roman" w:hAnsi="Times New Roman" w:cs="Times New Roman"/>
          <w:b/>
          <w:color w:val="365F91" w:themeColor="accent1" w:themeShade="BF"/>
        </w:rPr>
        <w:t>Italy</w:t>
      </w:r>
      <w:proofErr w:type="spellEnd"/>
    </w:p>
    <w:p w:rsidR="00F97B6D" w:rsidRPr="00F97B6D" w:rsidRDefault="00F97B6D" w:rsidP="00F97B6D">
      <w:pPr>
        <w:spacing w:after="0" w:line="240" w:lineRule="auto"/>
        <w:jc w:val="both"/>
        <w:rPr>
          <w:rFonts w:ascii="Times New Roman" w:hAnsi="Times New Roman" w:cs="Times New Roman"/>
          <w:b/>
          <w:color w:val="365F91" w:themeColor="accent1" w:themeShade="BF"/>
          <w:lang w:val="en-US"/>
        </w:rPr>
      </w:pPr>
      <w:r w:rsidRPr="00F97B6D">
        <w:rPr>
          <w:rFonts w:ascii="Times New Roman" w:hAnsi="Times New Roman" w:cs="Times New Roman"/>
          <w:b/>
          <w:color w:val="365F91" w:themeColor="accent1" w:themeShade="BF"/>
          <w:lang w:val="en-US"/>
        </w:rPr>
        <w:t>^</w:t>
      </w:r>
      <w:r w:rsidRPr="00F97B6D">
        <w:rPr>
          <w:lang w:val="en-US"/>
        </w:rPr>
        <w:t xml:space="preserve"> </w:t>
      </w:r>
      <w:r w:rsidRPr="00F97B6D">
        <w:rPr>
          <w:rFonts w:ascii="Times New Roman" w:hAnsi="Times New Roman" w:cs="Times New Roman"/>
          <w:b/>
          <w:color w:val="365F91" w:themeColor="accent1" w:themeShade="BF"/>
          <w:lang w:val="en-US"/>
        </w:rPr>
        <w:t xml:space="preserve">Doctor of Medical Informatics </w:t>
      </w:r>
      <w:r w:rsidRPr="00F97B6D">
        <w:rPr>
          <w:rFonts w:ascii="Times New Roman" w:hAnsi="Times New Roman" w:cs="Times New Roman"/>
          <w:b/>
          <w:color w:val="365F91" w:themeColor="accent1" w:themeShade="BF"/>
          <w:lang w:val="en-US"/>
        </w:rPr>
        <w:t>- AOU Policlinico-</w:t>
      </w:r>
      <w:proofErr w:type="spellStart"/>
      <w:r w:rsidRPr="00F97B6D">
        <w:rPr>
          <w:rFonts w:ascii="Times New Roman" w:hAnsi="Times New Roman" w:cs="Times New Roman"/>
          <w:b/>
          <w:color w:val="365F91" w:themeColor="accent1" w:themeShade="BF"/>
          <w:lang w:val="en-US"/>
        </w:rPr>
        <w:t>V.Emanuele</w:t>
      </w:r>
      <w:proofErr w:type="spellEnd"/>
      <w:r w:rsidRPr="00F97B6D">
        <w:rPr>
          <w:rFonts w:ascii="Times New Roman" w:hAnsi="Times New Roman" w:cs="Times New Roman"/>
          <w:b/>
          <w:color w:val="365F91" w:themeColor="accent1" w:themeShade="BF"/>
          <w:lang w:val="en-US"/>
        </w:rPr>
        <w:t xml:space="preserve"> Catania</w:t>
      </w:r>
      <w:r w:rsidR="00763BE2">
        <w:rPr>
          <w:rFonts w:ascii="Times New Roman" w:hAnsi="Times New Roman" w:cs="Times New Roman"/>
          <w:b/>
          <w:color w:val="365F91" w:themeColor="accent1" w:themeShade="BF"/>
          <w:lang w:val="en-US"/>
        </w:rPr>
        <w:t>, Italy</w:t>
      </w:r>
    </w:p>
    <w:p w:rsidR="00F97B6D" w:rsidRPr="00F97B6D" w:rsidRDefault="00F97B6D" w:rsidP="00F97B6D">
      <w:pPr>
        <w:spacing w:after="0" w:line="240" w:lineRule="auto"/>
        <w:jc w:val="both"/>
        <w:rPr>
          <w:rFonts w:ascii="Times New Roman" w:hAnsi="Times New Roman" w:cs="Times New Roman"/>
          <w:b/>
          <w:color w:val="365F91" w:themeColor="accent1" w:themeShade="BF"/>
          <w:lang w:val="en-US"/>
        </w:rPr>
      </w:pPr>
      <w:r w:rsidRPr="00F97B6D">
        <w:rPr>
          <w:rFonts w:ascii="Times New Roman" w:hAnsi="Times New Roman" w:cs="Times New Roman"/>
          <w:b/>
          <w:color w:val="365F91" w:themeColor="accent1" w:themeShade="BF"/>
          <w:lang w:val="en-US"/>
        </w:rPr>
        <w:t xml:space="preserve">** </w:t>
      </w:r>
      <w:proofErr w:type="spellStart"/>
      <w:r w:rsidR="00763BE2">
        <w:rPr>
          <w:rFonts w:ascii="Times New Roman" w:hAnsi="Times New Roman" w:cs="Times New Roman"/>
          <w:b/>
          <w:color w:val="365F91" w:themeColor="accent1" w:themeShade="BF"/>
          <w:lang w:val="en-US"/>
        </w:rPr>
        <w:t>Dr</w:t>
      </w:r>
      <w:proofErr w:type="spellEnd"/>
      <w:r w:rsidR="00763BE2">
        <w:rPr>
          <w:rFonts w:ascii="Times New Roman" w:hAnsi="Times New Roman" w:cs="Times New Roman"/>
          <w:b/>
          <w:color w:val="365F91" w:themeColor="accent1" w:themeShade="BF"/>
          <w:lang w:val="en-US"/>
        </w:rPr>
        <w:t xml:space="preserve"> </w:t>
      </w:r>
      <w:r w:rsidRPr="00F97B6D">
        <w:rPr>
          <w:rFonts w:ascii="Times New Roman" w:hAnsi="Times New Roman" w:cs="Times New Roman"/>
          <w:b/>
          <w:color w:val="365F91" w:themeColor="accent1" w:themeShade="BF"/>
          <w:lang w:val="en-US"/>
        </w:rPr>
        <w:t xml:space="preserve">Nursing Infectious Detector </w:t>
      </w:r>
      <w:r w:rsidRPr="00F97B6D">
        <w:rPr>
          <w:rFonts w:ascii="Times New Roman" w:hAnsi="Times New Roman" w:cs="Times New Roman"/>
          <w:b/>
          <w:color w:val="365F91" w:themeColor="accent1" w:themeShade="BF"/>
          <w:lang w:val="en-US"/>
        </w:rPr>
        <w:t xml:space="preserve">HTA </w:t>
      </w:r>
      <w:r>
        <w:rPr>
          <w:rFonts w:ascii="Times New Roman" w:hAnsi="Times New Roman" w:cs="Times New Roman"/>
          <w:b/>
          <w:color w:val="365F91" w:themeColor="accent1" w:themeShade="BF"/>
          <w:lang w:val="en-US"/>
        </w:rPr>
        <w:t xml:space="preserve">Committee member </w:t>
      </w:r>
      <w:r w:rsidRPr="00F97B6D">
        <w:rPr>
          <w:rFonts w:ascii="Times New Roman" w:hAnsi="Times New Roman" w:cs="Times New Roman"/>
          <w:b/>
          <w:color w:val="365F91" w:themeColor="accent1" w:themeShade="BF"/>
          <w:lang w:val="en-US"/>
        </w:rPr>
        <w:t>AOU Policlinico-</w:t>
      </w:r>
      <w:proofErr w:type="spellStart"/>
      <w:r w:rsidRPr="00F97B6D">
        <w:rPr>
          <w:rFonts w:ascii="Times New Roman" w:hAnsi="Times New Roman" w:cs="Times New Roman"/>
          <w:b/>
          <w:color w:val="365F91" w:themeColor="accent1" w:themeShade="BF"/>
          <w:lang w:val="en-US"/>
        </w:rPr>
        <w:t>V.Emanuele</w:t>
      </w:r>
      <w:proofErr w:type="spellEnd"/>
      <w:r w:rsidRPr="00F97B6D">
        <w:rPr>
          <w:rFonts w:ascii="Times New Roman" w:hAnsi="Times New Roman" w:cs="Times New Roman"/>
          <w:b/>
          <w:color w:val="365F91" w:themeColor="accent1" w:themeShade="BF"/>
          <w:lang w:val="en-US"/>
        </w:rPr>
        <w:t xml:space="preserve"> Catania</w:t>
      </w:r>
      <w:r w:rsidR="00763BE2">
        <w:rPr>
          <w:rFonts w:ascii="Times New Roman" w:hAnsi="Times New Roman" w:cs="Times New Roman"/>
          <w:b/>
          <w:color w:val="365F91" w:themeColor="accent1" w:themeShade="BF"/>
          <w:lang w:val="en-US"/>
        </w:rPr>
        <w:t>, Italy</w:t>
      </w:r>
    </w:p>
    <w:p w:rsidR="00F97B6D" w:rsidRPr="00F97B6D" w:rsidRDefault="00F97B6D" w:rsidP="00F97B6D">
      <w:pPr>
        <w:spacing w:after="0" w:line="240" w:lineRule="auto"/>
        <w:jc w:val="both"/>
        <w:rPr>
          <w:rFonts w:ascii="Times New Roman" w:hAnsi="Times New Roman" w:cs="Times New Roman"/>
          <w:b/>
          <w:color w:val="365F91" w:themeColor="accent1" w:themeShade="BF"/>
        </w:rPr>
      </w:pPr>
      <w:r w:rsidRPr="00F97B6D">
        <w:rPr>
          <w:rFonts w:ascii="Times New Roman" w:hAnsi="Times New Roman" w:cs="Times New Roman"/>
          <w:b/>
          <w:color w:val="365F91" w:themeColor="accent1" w:themeShade="BF"/>
        </w:rPr>
        <w:t xml:space="preserve">*** </w:t>
      </w:r>
      <w:r w:rsidRPr="00F97B6D">
        <w:rPr>
          <w:rFonts w:ascii="Times New Roman" w:hAnsi="Times New Roman" w:cs="Times New Roman"/>
          <w:b/>
          <w:color w:val="365F91" w:themeColor="accent1" w:themeShade="BF"/>
        </w:rPr>
        <w:t xml:space="preserve">Medical </w:t>
      </w:r>
      <w:proofErr w:type="spellStart"/>
      <w:r w:rsidRPr="00F97B6D">
        <w:rPr>
          <w:rFonts w:ascii="Times New Roman" w:hAnsi="Times New Roman" w:cs="Times New Roman"/>
          <w:b/>
          <w:color w:val="365F91" w:themeColor="accent1" w:themeShade="BF"/>
        </w:rPr>
        <w:t>Directorate</w:t>
      </w:r>
      <w:proofErr w:type="spellEnd"/>
      <w:r w:rsidRPr="00F97B6D">
        <w:rPr>
          <w:rFonts w:ascii="Times New Roman" w:hAnsi="Times New Roman" w:cs="Times New Roman"/>
          <w:b/>
          <w:color w:val="365F91" w:themeColor="accent1" w:themeShade="BF"/>
        </w:rPr>
        <w:t xml:space="preserve"> Presidium HTA Commi</w:t>
      </w:r>
      <w:r>
        <w:rPr>
          <w:rFonts w:ascii="Times New Roman" w:hAnsi="Times New Roman" w:cs="Times New Roman"/>
          <w:b/>
          <w:color w:val="365F91" w:themeColor="accent1" w:themeShade="BF"/>
        </w:rPr>
        <w:t xml:space="preserve">ttee </w:t>
      </w:r>
      <w:r w:rsidRPr="00F97B6D">
        <w:rPr>
          <w:rFonts w:ascii="Times New Roman" w:hAnsi="Times New Roman" w:cs="Times New Roman"/>
          <w:b/>
          <w:color w:val="365F91" w:themeColor="accent1" w:themeShade="BF"/>
        </w:rPr>
        <w:t xml:space="preserve">AOU </w:t>
      </w:r>
      <w:proofErr w:type="spellStart"/>
      <w:r w:rsidRPr="00F97B6D">
        <w:rPr>
          <w:rFonts w:ascii="Times New Roman" w:hAnsi="Times New Roman" w:cs="Times New Roman"/>
          <w:b/>
          <w:color w:val="365F91" w:themeColor="accent1" w:themeShade="BF"/>
        </w:rPr>
        <w:t>Policlinico-V.Emanuele</w:t>
      </w:r>
      <w:proofErr w:type="spellEnd"/>
      <w:r w:rsidRPr="00F97B6D">
        <w:rPr>
          <w:rFonts w:ascii="Times New Roman" w:hAnsi="Times New Roman" w:cs="Times New Roman"/>
          <w:b/>
          <w:color w:val="365F91" w:themeColor="accent1" w:themeShade="BF"/>
        </w:rPr>
        <w:t xml:space="preserve"> Catania</w:t>
      </w:r>
      <w:r w:rsidR="00763BE2">
        <w:rPr>
          <w:rFonts w:ascii="Times New Roman" w:hAnsi="Times New Roman" w:cs="Times New Roman"/>
          <w:b/>
          <w:color w:val="365F91" w:themeColor="accent1" w:themeShade="BF"/>
        </w:rPr>
        <w:t xml:space="preserve">, </w:t>
      </w:r>
      <w:proofErr w:type="spellStart"/>
      <w:r w:rsidR="00763BE2">
        <w:rPr>
          <w:rFonts w:ascii="Times New Roman" w:hAnsi="Times New Roman" w:cs="Times New Roman"/>
          <w:b/>
          <w:color w:val="365F91" w:themeColor="accent1" w:themeShade="BF"/>
        </w:rPr>
        <w:t>Italy</w:t>
      </w:r>
      <w:proofErr w:type="spellEnd"/>
    </w:p>
    <w:p w:rsidR="00F97B6D" w:rsidRPr="00F97B6D" w:rsidRDefault="00F97B6D" w:rsidP="00F97B6D">
      <w:pPr>
        <w:spacing w:after="0" w:line="240" w:lineRule="auto"/>
        <w:jc w:val="both"/>
        <w:rPr>
          <w:rFonts w:ascii="Times New Roman" w:hAnsi="Times New Roman" w:cs="Times New Roman"/>
          <w:b/>
          <w:color w:val="365F91" w:themeColor="accent1" w:themeShade="BF"/>
        </w:rPr>
      </w:pPr>
    </w:p>
    <w:p w:rsidR="00F97B6D" w:rsidRPr="00F97B6D" w:rsidRDefault="00763BE2" w:rsidP="00F97B6D">
      <w:pPr>
        <w:spacing w:after="0" w:line="240" w:lineRule="auto"/>
        <w:jc w:val="both"/>
        <w:rPr>
          <w:rFonts w:ascii="Times New Roman" w:hAnsi="Times New Roman" w:cs="Times New Roman"/>
          <w:b/>
          <w:color w:val="365F91" w:themeColor="accent1" w:themeShade="BF"/>
        </w:rPr>
      </w:pPr>
      <w:proofErr w:type="spellStart"/>
      <w:r w:rsidRPr="00763BE2">
        <w:rPr>
          <w:rFonts w:ascii="Times New Roman" w:hAnsi="Times New Roman" w:cs="Times New Roman"/>
          <w:b/>
          <w:color w:val="365F91" w:themeColor="accent1" w:themeShade="BF"/>
        </w:rPr>
        <w:t>Corresponding</w:t>
      </w:r>
      <w:proofErr w:type="spellEnd"/>
      <w:r w:rsidRPr="00763BE2">
        <w:rPr>
          <w:rFonts w:ascii="Times New Roman" w:hAnsi="Times New Roman" w:cs="Times New Roman"/>
          <w:b/>
          <w:color w:val="365F91" w:themeColor="accent1" w:themeShade="BF"/>
        </w:rPr>
        <w:t xml:space="preserve"> </w:t>
      </w:r>
      <w:proofErr w:type="spellStart"/>
      <w:r w:rsidRPr="00763BE2">
        <w:rPr>
          <w:rFonts w:ascii="Times New Roman" w:hAnsi="Times New Roman" w:cs="Times New Roman"/>
          <w:b/>
          <w:color w:val="365F91" w:themeColor="accent1" w:themeShade="BF"/>
        </w:rPr>
        <w:t>author</w:t>
      </w:r>
      <w:proofErr w:type="spellEnd"/>
      <w:r>
        <w:rPr>
          <w:rFonts w:ascii="Times New Roman" w:hAnsi="Times New Roman" w:cs="Times New Roman"/>
          <w:b/>
          <w:color w:val="365F91" w:themeColor="accent1" w:themeShade="BF"/>
        </w:rPr>
        <w:t xml:space="preserve"> </w:t>
      </w:r>
    </w:p>
    <w:p w:rsidR="00F97B6D" w:rsidRPr="00F97B6D" w:rsidRDefault="00763BE2" w:rsidP="00F97B6D">
      <w:pPr>
        <w:spacing w:after="0" w:line="240" w:lineRule="auto"/>
        <w:jc w:val="both"/>
        <w:rPr>
          <w:rFonts w:ascii="Times New Roman" w:hAnsi="Times New Roman" w:cs="Times New Roman"/>
          <w:b/>
          <w:color w:val="365F91" w:themeColor="accent1" w:themeShade="BF"/>
        </w:rPr>
      </w:pPr>
      <w:proofErr w:type="spellStart"/>
      <w:r>
        <w:rPr>
          <w:rFonts w:ascii="Times New Roman" w:hAnsi="Times New Roman" w:cs="Times New Roman"/>
          <w:b/>
          <w:color w:val="365F91" w:themeColor="accent1" w:themeShade="BF"/>
        </w:rPr>
        <w:t>PhD</w:t>
      </w:r>
      <w:proofErr w:type="spellEnd"/>
      <w:r>
        <w:rPr>
          <w:rFonts w:ascii="Times New Roman" w:hAnsi="Times New Roman" w:cs="Times New Roman"/>
          <w:b/>
          <w:color w:val="365F91" w:themeColor="accent1" w:themeShade="BF"/>
        </w:rPr>
        <w:t xml:space="preserve"> </w:t>
      </w:r>
      <w:r w:rsidR="00F97B6D" w:rsidRPr="00F97B6D">
        <w:rPr>
          <w:rFonts w:ascii="Times New Roman" w:hAnsi="Times New Roman" w:cs="Times New Roman"/>
          <w:b/>
          <w:color w:val="365F91" w:themeColor="accent1" w:themeShade="BF"/>
        </w:rPr>
        <w:t>D</w:t>
      </w:r>
      <w:r>
        <w:rPr>
          <w:rFonts w:ascii="Times New Roman" w:hAnsi="Times New Roman" w:cs="Times New Roman"/>
          <w:b/>
          <w:color w:val="365F91" w:themeColor="accent1" w:themeShade="BF"/>
        </w:rPr>
        <w:t xml:space="preserve">r. </w:t>
      </w:r>
      <w:r w:rsidR="00F97B6D" w:rsidRPr="00F97B6D">
        <w:rPr>
          <w:rFonts w:ascii="Times New Roman" w:hAnsi="Times New Roman" w:cs="Times New Roman"/>
          <w:b/>
          <w:color w:val="365F91" w:themeColor="accent1" w:themeShade="BF"/>
        </w:rPr>
        <w:t xml:space="preserve"> Rosalia Ragusa</w:t>
      </w:r>
    </w:p>
    <w:p w:rsidR="00763BE2" w:rsidRDefault="00763BE2" w:rsidP="00F97B6D">
      <w:pPr>
        <w:spacing w:after="0" w:line="240" w:lineRule="auto"/>
        <w:jc w:val="both"/>
        <w:rPr>
          <w:rFonts w:ascii="Times New Roman" w:hAnsi="Times New Roman" w:cs="Times New Roman"/>
          <w:b/>
          <w:color w:val="365F91" w:themeColor="accent1" w:themeShade="BF"/>
        </w:rPr>
      </w:pPr>
      <w:proofErr w:type="spellStart"/>
      <w:r w:rsidRPr="00763BE2">
        <w:rPr>
          <w:rFonts w:ascii="Times New Roman" w:hAnsi="Times New Roman" w:cs="Times New Roman"/>
          <w:b/>
          <w:color w:val="365F91" w:themeColor="accent1" w:themeShade="BF"/>
        </w:rPr>
        <w:t>President</w:t>
      </w:r>
      <w:proofErr w:type="spellEnd"/>
      <w:r w:rsidRPr="00763BE2">
        <w:rPr>
          <w:rFonts w:ascii="Times New Roman" w:hAnsi="Times New Roman" w:cs="Times New Roman"/>
          <w:b/>
          <w:color w:val="365F91" w:themeColor="accent1" w:themeShade="BF"/>
        </w:rPr>
        <w:t xml:space="preserve"> HTA Committee AOU </w:t>
      </w:r>
      <w:proofErr w:type="spellStart"/>
      <w:r w:rsidRPr="00763BE2">
        <w:rPr>
          <w:rFonts w:ascii="Times New Roman" w:hAnsi="Times New Roman" w:cs="Times New Roman"/>
          <w:b/>
          <w:color w:val="365F91" w:themeColor="accent1" w:themeShade="BF"/>
        </w:rPr>
        <w:t>Policlinico-V.Emanuele</w:t>
      </w:r>
      <w:proofErr w:type="spellEnd"/>
      <w:r w:rsidRPr="00763BE2">
        <w:rPr>
          <w:rFonts w:ascii="Times New Roman" w:hAnsi="Times New Roman" w:cs="Times New Roman"/>
          <w:b/>
          <w:color w:val="365F91" w:themeColor="accent1" w:themeShade="BF"/>
        </w:rPr>
        <w:t xml:space="preserve"> Catania, </w:t>
      </w:r>
      <w:proofErr w:type="spellStart"/>
      <w:r w:rsidRPr="00763BE2">
        <w:rPr>
          <w:rFonts w:ascii="Times New Roman" w:hAnsi="Times New Roman" w:cs="Times New Roman"/>
          <w:b/>
          <w:color w:val="365F91" w:themeColor="accent1" w:themeShade="BF"/>
        </w:rPr>
        <w:t>Italy</w:t>
      </w:r>
      <w:proofErr w:type="spellEnd"/>
      <w:r>
        <w:rPr>
          <w:rFonts w:ascii="Times New Roman" w:hAnsi="Times New Roman" w:cs="Times New Roman"/>
          <w:b/>
          <w:color w:val="365F91" w:themeColor="accent1" w:themeShade="BF"/>
        </w:rPr>
        <w:t xml:space="preserve"> </w:t>
      </w:r>
    </w:p>
    <w:p w:rsidR="00F97B6D" w:rsidRPr="00F97B6D" w:rsidRDefault="00F97B6D" w:rsidP="00F97B6D">
      <w:pPr>
        <w:spacing w:after="0" w:line="240" w:lineRule="auto"/>
        <w:jc w:val="both"/>
        <w:rPr>
          <w:rFonts w:ascii="Times New Roman" w:hAnsi="Times New Roman" w:cs="Times New Roman"/>
          <w:b/>
          <w:color w:val="365F91" w:themeColor="accent1" w:themeShade="BF"/>
        </w:rPr>
      </w:pPr>
      <w:r w:rsidRPr="00F97B6D">
        <w:rPr>
          <w:rFonts w:ascii="Times New Roman" w:hAnsi="Times New Roman" w:cs="Times New Roman"/>
          <w:b/>
          <w:color w:val="365F91" w:themeColor="accent1" w:themeShade="BF"/>
        </w:rPr>
        <w:t>Via Santa Sofia 78,  95123Catania 0953782506</w:t>
      </w:r>
    </w:p>
    <w:p w:rsidR="00F97B6D" w:rsidRPr="00F97B6D" w:rsidRDefault="00F97B6D" w:rsidP="00F97B6D">
      <w:pPr>
        <w:spacing w:after="0" w:line="240" w:lineRule="auto"/>
        <w:jc w:val="both"/>
        <w:rPr>
          <w:rFonts w:ascii="Times New Roman" w:hAnsi="Times New Roman" w:cs="Times New Roman"/>
          <w:b/>
          <w:color w:val="365F91" w:themeColor="accent1" w:themeShade="BF"/>
        </w:rPr>
      </w:pPr>
      <w:r w:rsidRPr="00F97B6D">
        <w:rPr>
          <w:rFonts w:ascii="Times New Roman" w:hAnsi="Times New Roman" w:cs="Times New Roman"/>
          <w:b/>
          <w:color w:val="365F91" w:themeColor="accent1" w:themeShade="BF"/>
        </w:rPr>
        <w:t>ragusar@unict.it</w:t>
      </w:r>
    </w:p>
    <w:p w:rsidR="00F97B6D" w:rsidRPr="00F97B6D" w:rsidRDefault="00F97B6D" w:rsidP="00F97B6D">
      <w:pPr>
        <w:spacing w:after="0" w:line="240" w:lineRule="auto"/>
        <w:jc w:val="both"/>
        <w:rPr>
          <w:rFonts w:ascii="Times New Roman" w:hAnsi="Times New Roman" w:cs="Times New Roman"/>
          <w:b/>
          <w:color w:val="365F91" w:themeColor="accent1" w:themeShade="BF"/>
        </w:rPr>
      </w:pPr>
    </w:p>
    <w:p w:rsidR="00F97B6D" w:rsidRPr="00F97B6D" w:rsidRDefault="00F97B6D" w:rsidP="00F97B6D">
      <w:pPr>
        <w:spacing w:after="0" w:line="240" w:lineRule="auto"/>
        <w:jc w:val="both"/>
        <w:rPr>
          <w:rFonts w:ascii="Times New Roman" w:hAnsi="Times New Roman" w:cs="Times New Roman"/>
          <w:b/>
          <w:color w:val="365F91" w:themeColor="accent1" w:themeShade="BF"/>
        </w:rPr>
      </w:pPr>
      <w:r w:rsidRPr="00F97B6D">
        <w:rPr>
          <w:rFonts w:ascii="Times New Roman" w:hAnsi="Times New Roman" w:cs="Times New Roman"/>
          <w:b/>
          <w:color w:val="365F91" w:themeColor="accent1" w:themeShade="BF"/>
        </w:rPr>
        <w:t>AREA TEMATICA PROPOSTA: Percorsi, processi e modelli organizzativi HTA</w:t>
      </w:r>
    </w:p>
    <w:p w:rsidR="00F97B6D" w:rsidRPr="00F97B6D" w:rsidRDefault="00F97B6D" w:rsidP="00F97B6D">
      <w:pPr>
        <w:spacing w:after="0" w:line="240" w:lineRule="auto"/>
        <w:jc w:val="both"/>
        <w:rPr>
          <w:rFonts w:ascii="Times New Roman" w:hAnsi="Times New Roman" w:cs="Times New Roman"/>
          <w:b/>
          <w:color w:val="365F91" w:themeColor="accent1" w:themeShade="BF"/>
        </w:rPr>
      </w:pPr>
    </w:p>
    <w:p w:rsidR="00F97B6D" w:rsidRPr="00F97B6D" w:rsidRDefault="00F97B6D" w:rsidP="00F97B6D">
      <w:pPr>
        <w:spacing w:after="0" w:line="240" w:lineRule="auto"/>
        <w:jc w:val="both"/>
        <w:rPr>
          <w:rFonts w:ascii="Times New Roman" w:hAnsi="Times New Roman" w:cs="Times New Roman"/>
          <w:color w:val="365F91" w:themeColor="accent1" w:themeShade="BF"/>
          <w:lang w:val="en-US"/>
        </w:rPr>
      </w:pPr>
      <w:r w:rsidRPr="00F97B6D">
        <w:rPr>
          <w:rFonts w:ascii="Times New Roman" w:hAnsi="Times New Roman" w:cs="Times New Roman"/>
          <w:b/>
          <w:color w:val="365F91" w:themeColor="accent1" w:themeShade="BF"/>
          <w:lang w:val="en-US"/>
        </w:rPr>
        <w:t>Objectives</w:t>
      </w:r>
      <w:r w:rsidRPr="00F97B6D">
        <w:rPr>
          <w:rFonts w:ascii="Times New Roman" w:hAnsi="Times New Roman" w:cs="Times New Roman"/>
          <w:color w:val="365F91" w:themeColor="accent1" w:themeShade="BF"/>
          <w:lang w:val="en-US"/>
        </w:rPr>
        <w:t xml:space="preserve">: Following a prevalence survey and the incidence of decubitus lesions (LDD) carried out at our company, </w:t>
      </w:r>
      <w:proofErr w:type="spellStart"/>
      <w:r w:rsidRPr="00F97B6D">
        <w:rPr>
          <w:rFonts w:ascii="Times New Roman" w:hAnsi="Times New Roman" w:cs="Times New Roman"/>
          <w:color w:val="365F91" w:themeColor="accent1" w:themeShade="BF"/>
          <w:lang w:val="en-US"/>
        </w:rPr>
        <w:t>uncomfortabable</w:t>
      </w:r>
      <w:proofErr w:type="spellEnd"/>
      <w:r w:rsidRPr="00F97B6D">
        <w:rPr>
          <w:rFonts w:ascii="Times New Roman" w:hAnsi="Times New Roman" w:cs="Times New Roman"/>
          <w:color w:val="365F91" w:themeColor="accent1" w:themeShade="BF"/>
          <w:lang w:val="en-US"/>
        </w:rPr>
        <w:t xml:space="preserve"> data emerged. It has been considered necessary to implement a close monitoring activity devoted to the use of aids to be used to promote the prevention of decubitus lesions in sedentary patients and, if present, to accelerate resolution.</w:t>
      </w:r>
    </w:p>
    <w:p w:rsidR="00F97B6D" w:rsidRPr="00F97B6D" w:rsidRDefault="00F97B6D" w:rsidP="00F97B6D">
      <w:pPr>
        <w:spacing w:after="0" w:line="240" w:lineRule="auto"/>
        <w:jc w:val="both"/>
        <w:rPr>
          <w:rFonts w:ascii="Times New Roman" w:hAnsi="Times New Roman" w:cs="Times New Roman"/>
          <w:color w:val="365F91" w:themeColor="accent1" w:themeShade="BF"/>
          <w:lang w:val="en-US"/>
        </w:rPr>
      </w:pPr>
    </w:p>
    <w:p w:rsidR="00F97B6D" w:rsidRPr="00F97B6D" w:rsidRDefault="00F97B6D" w:rsidP="00F97B6D">
      <w:pPr>
        <w:spacing w:after="0" w:line="240" w:lineRule="auto"/>
        <w:jc w:val="both"/>
        <w:rPr>
          <w:rFonts w:ascii="Times New Roman" w:hAnsi="Times New Roman" w:cs="Times New Roman"/>
          <w:color w:val="365F91" w:themeColor="accent1" w:themeShade="BF"/>
          <w:lang w:val="en-US"/>
        </w:rPr>
      </w:pPr>
      <w:r w:rsidRPr="00F97B6D">
        <w:rPr>
          <w:rFonts w:ascii="Times New Roman" w:hAnsi="Times New Roman" w:cs="Times New Roman"/>
          <w:b/>
          <w:color w:val="365F91" w:themeColor="accent1" w:themeShade="BF"/>
          <w:lang w:val="en-US"/>
        </w:rPr>
        <w:t>Methods</w:t>
      </w:r>
      <w:r w:rsidRPr="00F97B6D">
        <w:rPr>
          <w:rFonts w:ascii="Times New Roman" w:hAnsi="Times New Roman" w:cs="Times New Roman"/>
          <w:color w:val="365F91" w:themeColor="accent1" w:themeShade="BF"/>
          <w:lang w:val="en-US"/>
        </w:rPr>
        <w:t>: Recognition of the presence of the company present (</w:t>
      </w:r>
      <w:proofErr w:type="spellStart"/>
      <w:r w:rsidRPr="00F97B6D">
        <w:rPr>
          <w:rFonts w:ascii="Times New Roman" w:hAnsi="Times New Roman" w:cs="Times New Roman"/>
          <w:color w:val="365F91" w:themeColor="accent1" w:themeShade="BF"/>
          <w:lang w:val="en-US"/>
        </w:rPr>
        <w:t>antidecubital</w:t>
      </w:r>
      <w:proofErr w:type="spellEnd"/>
      <w:r w:rsidRPr="00F97B6D">
        <w:rPr>
          <w:rFonts w:ascii="Times New Roman" w:hAnsi="Times New Roman" w:cs="Times New Roman"/>
          <w:color w:val="365F91" w:themeColor="accent1" w:themeShade="BF"/>
          <w:lang w:val="en-US"/>
        </w:rPr>
        <w:t xml:space="preserve"> mattresses, side positioners or heels) and confronted with active and / or emerging needs for prevention and treatment of decubitus lesions.</w:t>
      </w:r>
    </w:p>
    <w:p w:rsidR="00F97B6D" w:rsidRPr="00F97B6D" w:rsidRDefault="00F97B6D" w:rsidP="00F97B6D">
      <w:pPr>
        <w:spacing w:after="0" w:line="240" w:lineRule="auto"/>
        <w:jc w:val="both"/>
        <w:rPr>
          <w:rFonts w:ascii="Times New Roman" w:hAnsi="Times New Roman" w:cs="Times New Roman"/>
          <w:color w:val="365F91" w:themeColor="accent1" w:themeShade="BF"/>
          <w:lang w:val="en-US"/>
        </w:rPr>
      </w:pPr>
      <w:r w:rsidRPr="00F97B6D">
        <w:rPr>
          <w:rFonts w:ascii="Times New Roman" w:hAnsi="Times New Roman" w:cs="Times New Roman"/>
          <w:color w:val="365F91" w:themeColor="accent1" w:themeShade="BF"/>
          <w:lang w:val="en-US"/>
        </w:rPr>
        <w:t xml:space="preserve">An innovative management model has been designed by the Nursing Service to help check the timely and appropriate use of </w:t>
      </w:r>
      <w:proofErr w:type="spellStart"/>
      <w:r w:rsidRPr="00F97B6D">
        <w:rPr>
          <w:rFonts w:ascii="Times New Roman" w:hAnsi="Times New Roman" w:cs="Times New Roman"/>
          <w:color w:val="365F91" w:themeColor="accent1" w:themeShade="BF"/>
          <w:lang w:val="en-US"/>
        </w:rPr>
        <w:t>antidecubital</w:t>
      </w:r>
      <w:proofErr w:type="spellEnd"/>
      <w:r w:rsidRPr="00F97B6D">
        <w:rPr>
          <w:rFonts w:ascii="Times New Roman" w:hAnsi="Times New Roman" w:cs="Times New Roman"/>
          <w:color w:val="365F91" w:themeColor="accent1" w:themeShade="BF"/>
          <w:lang w:val="en-US"/>
        </w:rPr>
        <w:t xml:space="preserve"> mattresses along with appropriate service protocols.</w:t>
      </w:r>
    </w:p>
    <w:p w:rsidR="00F97B6D" w:rsidRPr="00F97B6D" w:rsidRDefault="00F97B6D" w:rsidP="00F97B6D">
      <w:pPr>
        <w:spacing w:after="0" w:line="240" w:lineRule="auto"/>
        <w:jc w:val="both"/>
        <w:rPr>
          <w:rFonts w:ascii="Times New Roman" w:hAnsi="Times New Roman" w:cs="Times New Roman"/>
          <w:color w:val="365F91" w:themeColor="accent1" w:themeShade="BF"/>
          <w:lang w:val="en-US"/>
        </w:rPr>
      </w:pPr>
      <w:r w:rsidRPr="00F97B6D">
        <w:rPr>
          <w:rFonts w:ascii="Times New Roman" w:hAnsi="Times New Roman" w:cs="Times New Roman"/>
          <w:color w:val="365F91" w:themeColor="accent1" w:themeShade="BF"/>
          <w:lang w:val="en-US"/>
        </w:rPr>
        <w:t>The proposed management model includes:</w:t>
      </w:r>
    </w:p>
    <w:p w:rsidR="00F97B6D" w:rsidRPr="00F97B6D" w:rsidRDefault="00F97B6D" w:rsidP="00F97B6D">
      <w:pPr>
        <w:spacing w:after="0" w:line="240" w:lineRule="auto"/>
        <w:jc w:val="both"/>
        <w:rPr>
          <w:rFonts w:ascii="Times New Roman" w:hAnsi="Times New Roman" w:cs="Times New Roman"/>
          <w:color w:val="365F91" w:themeColor="accent1" w:themeShade="BF"/>
          <w:lang w:val="en-US"/>
        </w:rPr>
      </w:pPr>
      <w:r w:rsidRPr="00F97B6D">
        <w:rPr>
          <w:rFonts w:ascii="Times New Roman" w:hAnsi="Times New Roman" w:cs="Times New Roman"/>
          <w:color w:val="365F91" w:themeColor="accent1" w:themeShade="BF"/>
          <w:lang w:val="en-US"/>
        </w:rPr>
        <w:t>• the production of management software that can be linked to a future clinical digital dossier produced in collaboration with U.O. of Medical Informatics;</w:t>
      </w:r>
    </w:p>
    <w:p w:rsidR="00F97B6D" w:rsidRPr="00F97B6D" w:rsidRDefault="00F97B6D" w:rsidP="00F97B6D">
      <w:pPr>
        <w:spacing w:after="0" w:line="240" w:lineRule="auto"/>
        <w:jc w:val="both"/>
        <w:rPr>
          <w:rFonts w:ascii="Times New Roman" w:hAnsi="Times New Roman" w:cs="Times New Roman"/>
          <w:color w:val="365F91" w:themeColor="accent1" w:themeShade="BF"/>
          <w:lang w:val="en-US"/>
        </w:rPr>
      </w:pPr>
      <w:r w:rsidRPr="00F97B6D">
        <w:rPr>
          <w:rFonts w:ascii="Times New Roman" w:hAnsi="Times New Roman" w:cs="Times New Roman"/>
          <w:color w:val="365F91" w:themeColor="accent1" w:themeShade="BF"/>
          <w:lang w:val="en-US"/>
        </w:rPr>
        <w:t>• the centralization of the management of the aforesaid headquarters by the Nursing Services of the company;</w:t>
      </w:r>
    </w:p>
    <w:p w:rsidR="00F97B6D" w:rsidRPr="00F97B6D" w:rsidRDefault="00F97B6D" w:rsidP="00F97B6D">
      <w:pPr>
        <w:spacing w:after="0" w:line="240" w:lineRule="auto"/>
        <w:jc w:val="both"/>
        <w:rPr>
          <w:rFonts w:ascii="Times New Roman" w:hAnsi="Times New Roman" w:cs="Times New Roman"/>
          <w:color w:val="365F91" w:themeColor="accent1" w:themeShade="BF"/>
          <w:lang w:val="en-US"/>
        </w:rPr>
      </w:pPr>
      <w:r w:rsidRPr="00F97B6D">
        <w:rPr>
          <w:rFonts w:ascii="Times New Roman" w:hAnsi="Times New Roman" w:cs="Times New Roman"/>
          <w:color w:val="365F91" w:themeColor="accent1" w:themeShade="BF"/>
          <w:lang w:val="en-US"/>
        </w:rPr>
        <w:t>• building a business process for the prevention and management of LDDs;</w:t>
      </w:r>
    </w:p>
    <w:p w:rsidR="00F97B6D" w:rsidRPr="00F97B6D" w:rsidRDefault="00F97B6D" w:rsidP="00F97B6D">
      <w:pPr>
        <w:spacing w:after="0" w:line="240" w:lineRule="auto"/>
        <w:jc w:val="both"/>
        <w:rPr>
          <w:rFonts w:ascii="Times New Roman" w:hAnsi="Times New Roman" w:cs="Times New Roman"/>
          <w:color w:val="365F91" w:themeColor="accent1" w:themeShade="BF"/>
          <w:lang w:val="en-US"/>
        </w:rPr>
      </w:pPr>
      <w:r w:rsidRPr="00F97B6D">
        <w:rPr>
          <w:rFonts w:ascii="Times New Roman" w:hAnsi="Times New Roman" w:cs="Times New Roman"/>
          <w:color w:val="365F91" w:themeColor="accent1" w:themeShade="BF"/>
          <w:lang w:val="en-US"/>
        </w:rPr>
        <w:t xml:space="preserve">• the acquisition of an adequate number of </w:t>
      </w:r>
      <w:proofErr w:type="spellStart"/>
      <w:r w:rsidRPr="00F97B6D">
        <w:rPr>
          <w:rFonts w:ascii="Times New Roman" w:hAnsi="Times New Roman" w:cs="Times New Roman"/>
          <w:color w:val="365F91" w:themeColor="accent1" w:themeShade="BF"/>
          <w:lang w:val="en-US"/>
        </w:rPr>
        <w:t>antidecubital</w:t>
      </w:r>
      <w:proofErr w:type="spellEnd"/>
      <w:r w:rsidRPr="00F97B6D">
        <w:rPr>
          <w:rFonts w:ascii="Times New Roman" w:hAnsi="Times New Roman" w:cs="Times New Roman"/>
          <w:color w:val="365F91" w:themeColor="accent1" w:themeShade="BF"/>
          <w:lang w:val="en-US"/>
        </w:rPr>
        <w:t xml:space="preserve"> mattresses and other supports adapted to the degree of risk detected and the staging of any possible lesion;</w:t>
      </w:r>
    </w:p>
    <w:p w:rsidR="00966814" w:rsidRPr="00F97B6D" w:rsidRDefault="00F97B6D" w:rsidP="00F97B6D">
      <w:pPr>
        <w:spacing w:after="0" w:line="240" w:lineRule="auto"/>
        <w:jc w:val="both"/>
        <w:rPr>
          <w:rFonts w:ascii="Times New Roman" w:hAnsi="Times New Roman" w:cs="Times New Roman"/>
          <w:color w:val="365F91" w:themeColor="accent1" w:themeShade="BF"/>
          <w:lang w:val="en-US"/>
        </w:rPr>
      </w:pPr>
      <w:r w:rsidRPr="00F97B6D">
        <w:rPr>
          <w:rFonts w:ascii="Times New Roman" w:hAnsi="Times New Roman" w:cs="Times New Roman"/>
          <w:color w:val="365F91" w:themeColor="accent1" w:themeShade="BF"/>
          <w:lang w:val="en-US"/>
        </w:rPr>
        <w:t>• Nursing staff training about preventing, treating LDDs and the proper use of devices;</w:t>
      </w:r>
    </w:p>
    <w:p w:rsidR="00F97B6D" w:rsidRPr="00F97B6D" w:rsidRDefault="00F97B6D" w:rsidP="00F97B6D">
      <w:pPr>
        <w:spacing w:after="0" w:line="240" w:lineRule="auto"/>
        <w:jc w:val="both"/>
        <w:rPr>
          <w:rFonts w:ascii="Times New Roman" w:hAnsi="Times New Roman" w:cs="Times New Roman"/>
          <w:color w:val="365F91" w:themeColor="accent1" w:themeShade="BF"/>
          <w:lang w:val="en-US"/>
        </w:rPr>
      </w:pPr>
    </w:p>
    <w:p w:rsidR="00F97B6D" w:rsidRPr="00F97B6D" w:rsidRDefault="00F97B6D" w:rsidP="00F97B6D">
      <w:pPr>
        <w:spacing w:after="0" w:line="240" w:lineRule="auto"/>
        <w:jc w:val="both"/>
        <w:rPr>
          <w:rFonts w:ascii="Times New Roman" w:hAnsi="Times New Roman" w:cs="Times New Roman"/>
          <w:color w:val="365F91" w:themeColor="accent1" w:themeShade="BF"/>
          <w:lang w:val="en-US"/>
        </w:rPr>
      </w:pPr>
      <w:r w:rsidRPr="00F97B6D">
        <w:rPr>
          <w:rFonts w:ascii="Times New Roman" w:hAnsi="Times New Roman" w:cs="Times New Roman"/>
          <w:b/>
          <w:color w:val="365F91" w:themeColor="accent1" w:themeShade="BF"/>
          <w:lang w:val="en-US"/>
        </w:rPr>
        <w:t>Results</w:t>
      </w:r>
      <w:r w:rsidRPr="00F97B6D">
        <w:rPr>
          <w:rFonts w:ascii="Times New Roman" w:hAnsi="Times New Roman" w:cs="Times New Roman"/>
          <w:color w:val="365F91" w:themeColor="accent1" w:themeShade="BF"/>
          <w:lang w:val="en-US"/>
        </w:rPr>
        <w:t xml:space="preserve">: The flow chart provides that, in the event of injury, it must be verified whether they are born before or after hospitalization. The decubitus lesions should be evaluated according to the NPUAP classification and mattress request must be activated. The mattress, equipped with a microchip, will be followed in the various departments. Each department is required to give an updated daily assessment to the nursing service via a specific window of the program. If no update is made to the wound and patient's condition within three days, the system sends a request for retrieval of the mattress or </w:t>
      </w:r>
      <w:proofErr w:type="spellStart"/>
      <w:r w:rsidRPr="00F97B6D">
        <w:rPr>
          <w:rFonts w:ascii="Times New Roman" w:hAnsi="Times New Roman" w:cs="Times New Roman"/>
          <w:color w:val="365F91" w:themeColor="accent1" w:themeShade="BF"/>
          <w:lang w:val="en-US"/>
        </w:rPr>
        <w:t>antidecubital</w:t>
      </w:r>
      <w:proofErr w:type="spellEnd"/>
      <w:r w:rsidRPr="00F97B6D">
        <w:rPr>
          <w:rFonts w:ascii="Times New Roman" w:hAnsi="Times New Roman" w:cs="Times New Roman"/>
          <w:color w:val="365F91" w:themeColor="accent1" w:themeShade="BF"/>
          <w:lang w:val="en-US"/>
        </w:rPr>
        <w:t xml:space="preserve"> devices, to the nursing service that will prompt the immediate reassignment of the chairpersons according to the received and channeled requests on a special waiting list computerized.</w:t>
      </w:r>
    </w:p>
    <w:p w:rsidR="00F97B6D" w:rsidRPr="00F97B6D" w:rsidRDefault="00F97B6D" w:rsidP="00F97B6D">
      <w:pPr>
        <w:spacing w:after="0" w:line="240" w:lineRule="auto"/>
        <w:jc w:val="both"/>
        <w:rPr>
          <w:rFonts w:ascii="Times New Roman" w:hAnsi="Times New Roman" w:cs="Times New Roman"/>
          <w:color w:val="365F91" w:themeColor="accent1" w:themeShade="BF"/>
          <w:lang w:val="en-US"/>
        </w:rPr>
      </w:pPr>
    </w:p>
    <w:p w:rsidR="00F97B6D" w:rsidRPr="00F97B6D" w:rsidRDefault="00F97B6D" w:rsidP="00F97B6D">
      <w:pPr>
        <w:spacing w:after="0" w:line="240" w:lineRule="auto"/>
        <w:jc w:val="both"/>
        <w:rPr>
          <w:rFonts w:ascii="Times New Roman" w:hAnsi="Times New Roman" w:cs="Times New Roman"/>
          <w:color w:val="365F91" w:themeColor="accent1" w:themeShade="BF"/>
          <w:lang w:val="en-US"/>
        </w:rPr>
      </w:pPr>
      <w:r w:rsidRPr="00F97B6D">
        <w:rPr>
          <w:rFonts w:ascii="Times New Roman" w:hAnsi="Times New Roman" w:cs="Times New Roman"/>
          <w:b/>
          <w:color w:val="365F91" w:themeColor="accent1" w:themeShade="BF"/>
          <w:lang w:val="en-US"/>
        </w:rPr>
        <w:t>Conclusions</w:t>
      </w:r>
      <w:r w:rsidRPr="00F97B6D">
        <w:rPr>
          <w:rFonts w:ascii="Times New Roman" w:hAnsi="Times New Roman" w:cs="Times New Roman"/>
          <w:color w:val="365F91" w:themeColor="accent1" w:themeShade="BF"/>
          <w:lang w:val="en-US"/>
        </w:rPr>
        <w:t>: The incidence of decubitus injuries results in an increase in costs for secondary treatments and prolongation of the stay and at the same time a worsening of the expected outcomes. The software will allow you to implement an explicit procedure that will guarantee the allocation decision of the anti-decubitus chairpersons shared among the healthcare providers with the ultimate goal of ensuring that they are used to as many people as possible avoiding the exclusion of the weaker subjects that are most likely to risk.</w:t>
      </w:r>
    </w:p>
    <w:sectPr w:rsidR="00F97B6D" w:rsidRPr="00F97B6D" w:rsidSect="00247B4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C6D"/>
    <w:rsid w:val="000A7C6D"/>
    <w:rsid w:val="00247B40"/>
    <w:rsid w:val="005C2BF5"/>
    <w:rsid w:val="00763BE2"/>
    <w:rsid w:val="00966814"/>
    <w:rsid w:val="00C95545"/>
    <w:rsid w:val="00F97B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527</Words>
  <Characters>3008</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2017-10-15T18:08:00Z</dcterms:created>
  <dcterms:modified xsi:type="dcterms:W3CDTF">2017-10-15T18:08:00Z</dcterms:modified>
</cp:coreProperties>
</file>