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7A574" w14:textId="77777777" w:rsidR="000D6982" w:rsidRPr="000D6982" w:rsidRDefault="00392546" w:rsidP="000D6982">
      <w:pPr>
        <w:pStyle w:val="Header"/>
        <w:spacing w:line="276" w:lineRule="auto"/>
        <w:jc w:val="center"/>
        <w:rPr>
          <w:rFonts w:asciiTheme="majorHAnsi" w:hAnsiTheme="majorHAnsi"/>
        </w:rPr>
      </w:pPr>
      <w:r>
        <w:rPr>
          <w:rFonts w:asciiTheme="majorHAnsi" w:hAnsiTheme="majorHAnsi"/>
        </w:rPr>
        <w:t>10</w:t>
      </w:r>
      <w:r w:rsidR="000D6982" w:rsidRPr="000D6982">
        <w:rPr>
          <w:rFonts w:asciiTheme="majorHAnsi" w:hAnsiTheme="majorHAnsi"/>
          <w:vertAlign w:val="superscript"/>
        </w:rPr>
        <w:t xml:space="preserve">th </w:t>
      </w:r>
      <w:r w:rsidR="000D6982" w:rsidRPr="000D6982">
        <w:rPr>
          <w:rFonts w:asciiTheme="majorHAnsi" w:hAnsiTheme="majorHAnsi"/>
        </w:rPr>
        <w:t>International Conference on Advances in Skin, Wound Care and Tissue Science</w:t>
      </w:r>
    </w:p>
    <w:p w14:paraId="11734C87" w14:textId="77777777" w:rsidR="000D6982" w:rsidRPr="000D6982" w:rsidRDefault="000D6982" w:rsidP="000D6982">
      <w:pPr>
        <w:pStyle w:val="Header"/>
        <w:spacing w:line="276" w:lineRule="auto"/>
        <w:jc w:val="center"/>
        <w:rPr>
          <w:rFonts w:asciiTheme="majorHAnsi" w:hAnsiTheme="majorHAnsi"/>
        </w:rPr>
      </w:pPr>
      <w:r w:rsidRPr="000D6982">
        <w:rPr>
          <w:rFonts w:asciiTheme="majorHAnsi" w:hAnsiTheme="majorHAnsi"/>
        </w:rPr>
        <w:t>October 1</w:t>
      </w:r>
      <w:r w:rsidR="00392546">
        <w:rPr>
          <w:rFonts w:asciiTheme="majorHAnsi" w:hAnsiTheme="majorHAnsi"/>
        </w:rPr>
        <w:t>4</w:t>
      </w:r>
      <w:r w:rsidRPr="000D6982">
        <w:rPr>
          <w:rFonts w:asciiTheme="majorHAnsi" w:hAnsiTheme="majorHAnsi"/>
        </w:rPr>
        <w:t>-1</w:t>
      </w:r>
      <w:r w:rsidR="00392546">
        <w:rPr>
          <w:rFonts w:asciiTheme="majorHAnsi" w:hAnsiTheme="majorHAnsi"/>
        </w:rPr>
        <w:t>5, 2020</w:t>
      </w:r>
      <w:r w:rsidRPr="000D6982">
        <w:rPr>
          <w:rFonts w:asciiTheme="majorHAnsi" w:hAnsiTheme="majorHAnsi"/>
        </w:rPr>
        <w:t xml:space="preserve"> </w:t>
      </w:r>
      <w:r w:rsidR="00392546">
        <w:rPr>
          <w:rFonts w:asciiTheme="majorHAnsi" w:hAnsiTheme="majorHAnsi"/>
        </w:rPr>
        <w:t>Zurich, Switzerland</w:t>
      </w:r>
    </w:p>
    <w:p w14:paraId="0F4B946A" w14:textId="3ED8FD46" w:rsidR="00AE3E37" w:rsidRPr="00041A28" w:rsidRDefault="007A5F2C" w:rsidP="00494130">
      <w:pPr>
        <w:pStyle w:val="Heading1"/>
        <w:spacing w:before="170"/>
        <w:ind w:left="0"/>
        <w:rPr>
          <w:rFonts w:asciiTheme="majorHAnsi" w:hAnsiTheme="majorHAnsi"/>
          <w:sz w:val="28"/>
          <w:szCs w:val="28"/>
        </w:rPr>
      </w:pPr>
      <w:r>
        <w:rPr>
          <w:rFonts w:asciiTheme="majorHAnsi" w:hAnsiTheme="majorHAnsi"/>
          <w:color w:val="337AB7"/>
          <w:sz w:val="28"/>
          <w:szCs w:val="28"/>
        </w:rPr>
        <w:t>Prevention of Incontinence Complications: New Evidence</w:t>
      </w:r>
    </w:p>
    <w:p w14:paraId="618950EA" w14:textId="429A7F2C" w:rsidR="000D6982" w:rsidRPr="000D6982" w:rsidRDefault="00D36899" w:rsidP="000D6982">
      <w:pPr>
        <w:rPr>
          <w:rFonts w:asciiTheme="majorHAnsi" w:hAnsiTheme="majorHAnsi"/>
          <w:vertAlign w:val="superscript"/>
        </w:rPr>
      </w:pPr>
      <w:r>
        <w:rPr>
          <w:rFonts w:asciiTheme="majorHAnsi" w:hAnsiTheme="majorHAnsi"/>
          <w:u w:val="single"/>
        </w:rPr>
        <w:t>Anthony Poloyapoy, RN</w:t>
      </w:r>
    </w:p>
    <w:p w14:paraId="6BF219DD" w14:textId="77777777" w:rsidR="000D6982" w:rsidRPr="000D6982" w:rsidRDefault="000D6982" w:rsidP="000D6982">
      <w:pPr>
        <w:jc w:val="center"/>
        <w:rPr>
          <w:rFonts w:asciiTheme="majorHAnsi" w:hAnsiTheme="majorHAnsi"/>
        </w:rPr>
      </w:pPr>
    </w:p>
    <w:p w14:paraId="41D732F7" w14:textId="27AB3624" w:rsidR="000D6982" w:rsidRPr="000D6982" w:rsidRDefault="000D6982" w:rsidP="000D6982">
      <w:pPr>
        <w:rPr>
          <w:rFonts w:asciiTheme="majorHAnsi" w:hAnsiTheme="majorHAnsi"/>
          <w:i/>
        </w:rPr>
      </w:pPr>
      <w:proofErr w:type="spellStart"/>
      <w:r w:rsidRPr="000D6982">
        <w:rPr>
          <w:rFonts w:asciiTheme="majorHAnsi" w:hAnsiTheme="majorHAnsi"/>
          <w:i/>
          <w:vertAlign w:val="superscript"/>
        </w:rPr>
        <w:t>a</w:t>
      </w:r>
      <w:r w:rsidRPr="000D6982">
        <w:rPr>
          <w:rFonts w:asciiTheme="majorHAnsi" w:hAnsiTheme="majorHAnsi"/>
          <w:i/>
        </w:rPr>
        <w:t>Affiliation</w:t>
      </w:r>
      <w:proofErr w:type="spellEnd"/>
      <w:r w:rsidRPr="000D6982">
        <w:rPr>
          <w:rFonts w:asciiTheme="majorHAnsi" w:hAnsiTheme="majorHAnsi"/>
          <w:i/>
        </w:rPr>
        <w:t xml:space="preserve"> Information: </w:t>
      </w:r>
      <w:r w:rsidR="00D36899">
        <w:rPr>
          <w:rFonts w:asciiTheme="majorHAnsi" w:hAnsiTheme="majorHAnsi"/>
          <w:i/>
        </w:rPr>
        <w:t>464 Kingsland St, Nutley, NJ 07110</w:t>
      </w:r>
    </w:p>
    <w:p w14:paraId="40255DC9" w14:textId="77777777" w:rsidR="00AE3E37" w:rsidRPr="000D6982" w:rsidRDefault="00AE3E37">
      <w:pPr>
        <w:pStyle w:val="BodyText"/>
        <w:rPr>
          <w:rFonts w:asciiTheme="majorHAnsi" w:hAnsiTheme="majorHAnsi"/>
          <w:sz w:val="20"/>
        </w:rPr>
      </w:pPr>
    </w:p>
    <w:p w14:paraId="748BB3C5" w14:textId="77777777" w:rsidR="00AE3E37" w:rsidRPr="000D6982" w:rsidRDefault="00AE3E37">
      <w:pPr>
        <w:pStyle w:val="BodyText"/>
        <w:spacing w:before="3"/>
        <w:rPr>
          <w:rFonts w:asciiTheme="majorHAnsi" w:hAnsiTheme="majorHAnsi"/>
          <w:sz w:val="21"/>
        </w:rPr>
      </w:pPr>
    </w:p>
    <w:p w14:paraId="2E7C7EE9" w14:textId="77777777" w:rsidR="00AE3E37" w:rsidRPr="000D6982" w:rsidRDefault="00AE3E37">
      <w:pPr>
        <w:rPr>
          <w:rFonts w:asciiTheme="majorHAnsi" w:hAnsiTheme="majorHAnsi"/>
          <w:sz w:val="21"/>
        </w:rPr>
        <w:sectPr w:rsidR="00AE3E37" w:rsidRPr="000D6982">
          <w:headerReference w:type="default" r:id="rId7"/>
          <w:footerReference w:type="default" r:id="rId8"/>
          <w:type w:val="continuous"/>
          <w:pgSz w:w="11910" w:h="16840"/>
          <w:pgMar w:top="1740" w:right="600" w:bottom="840" w:left="620" w:header="541" w:footer="642" w:gutter="0"/>
          <w:cols w:space="720"/>
        </w:sectPr>
      </w:pPr>
    </w:p>
    <w:p w14:paraId="791D6B4F" w14:textId="77777777" w:rsidR="00AE3E37" w:rsidRPr="000D6982" w:rsidRDefault="00A9710C">
      <w:pPr>
        <w:pStyle w:val="Heading3"/>
        <w:spacing w:before="147"/>
        <w:jc w:val="both"/>
        <w:rPr>
          <w:rFonts w:asciiTheme="majorHAnsi" w:hAnsiTheme="majorHAnsi"/>
        </w:rPr>
      </w:pPr>
      <w:r w:rsidRPr="000D6982">
        <w:rPr>
          <w:rFonts w:asciiTheme="majorHAnsi" w:hAnsiTheme="majorHAnsi"/>
          <w:color w:val="BF5A14"/>
        </w:rPr>
        <w:t>Abstract</w:t>
      </w:r>
      <w:r w:rsidR="00404E5B" w:rsidRPr="000D6982">
        <w:rPr>
          <w:rFonts w:asciiTheme="majorHAnsi" w:hAnsiTheme="majorHAnsi"/>
          <w:color w:val="BF5A14"/>
        </w:rPr>
        <w:t xml:space="preserve"> (300 word limit)</w:t>
      </w:r>
    </w:p>
    <w:p w14:paraId="67A78EB0" w14:textId="77777777" w:rsidR="00DD1A18" w:rsidRPr="00DD1A18" w:rsidRDefault="00DD1A18" w:rsidP="00DD1A18">
      <w:pPr>
        <w:pStyle w:val="Heading3"/>
        <w:spacing w:before="74"/>
        <w:rPr>
          <w:rFonts w:asciiTheme="majorHAnsi" w:hAnsiTheme="majorHAnsi"/>
          <w:sz w:val="18"/>
          <w:szCs w:val="18"/>
        </w:rPr>
      </w:pPr>
      <w:r w:rsidRPr="00DD1A18">
        <w:rPr>
          <w:rFonts w:asciiTheme="majorHAnsi" w:hAnsiTheme="majorHAnsi"/>
          <w:sz w:val="18"/>
          <w:szCs w:val="18"/>
        </w:rPr>
        <w:t xml:space="preserve">Millions of people suffer from problems of bladder, bowel or both.  This presents issues for affected individuals, family members who act as givers of care, and healthcare providers.  In hospitalized patients, incontinence presents problems to providers due to age, immobility, cognitive impairment, immobility related to surgery and medical treatment, terminal illness, and multiple health morbidities.  This problem increases skin damage that often leads to a largely preventable condition such as incontinence-associated dermatitis (IAD) and pressure injury (PI) if poorly managed.  Both can cause significant discomfort and impact on patient quality of life. Preventing skin damage or promoting healing to a damage skin is essential to avoid complications.  </w:t>
      </w:r>
    </w:p>
    <w:p w14:paraId="2219DE77" w14:textId="77777777" w:rsidR="00DD1A18" w:rsidRPr="00DD1A18" w:rsidRDefault="00DD1A18" w:rsidP="00DD1A18">
      <w:pPr>
        <w:pStyle w:val="Heading3"/>
        <w:spacing w:before="74"/>
        <w:rPr>
          <w:rFonts w:asciiTheme="majorHAnsi" w:hAnsiTheme="majorHAnsi"/>
          <w:sz w:val="18"/>
          <w:szCs w:val="18"/>
        </w:rPr>
      </w:pPr>
      <w:r w:rsidRPr="00DD1A18">
        <w:rPr>
          <w:rFonts w:asciiTheme="majorHAnsi" w:hAnsiTheme="majorHAnsi"/>
          <w:sz w:val="18"/>
          <w:szCs w:val="18"/>
        </w:rPr>
        <w:tab/>
        <w:t xml:space="preserve">Hospitals have established protocols and clinical guidance to managed incontinence complications.  However, some healthcare organizations are currently evaluating the effectiveness of interventions related to the use of specialty linens, disposable absorbent </w:t>
      </w:r>
      <w:proofErr w:type="spellStart"/>
      <w:r w:rsidRPr="00DD1A18">
        <w:rPr>
          <w:rFonts w:asciiTheme="majorHAnsi" w:hAnsiTheme="majorHAnsi"/>
          <w:sz w:val="18"/>
          <w:szCs w:val="18"/>
        </w:rPr>
        <w:t>underpads</w:t>
      </w:r>
      <w:proofErr w:type="spellEnd"/>
      <w:r w:rsidRPr="00DD1A18">
        <w:rPr>
          <w:rFonts w:asciiTheme="majorHAnsi" w:hAnsiTheme="majorHAnsi"/>
          <w:sz w:val="18"/>
          <w:szCs w:val="18"/>
        </w:rPr>
        <w:t xml:space="preserve">, and improved absorbent pads to prevent IAD and PI.  Do these interventions contribute to an overall lower incidence of incontinence complications when used or integrated with other established protocols in a hospital setting? The current evidence shows the use of the interventions as effective and can be a key factor in prevention and management of incontinence complications.  Overall, this is an encouraging new evidence that hospitals and other healthcare organizations can use as a quality initiative in its own workplace.  </w:t>
      </w:r>
    </w:p>
    <w:p w14:paraId="28DBFC15" w14:textId="3F5489D0" w:rsidR="005973B9" w:rsidRPr="007C0ECE" w:rsidRDefault="00A9710C" w:rsidP="007C0ECE">
      <w:pPr>
        <w:pStyle w:val="Heading3"/>
        <w:spacing w:before="74"/>
        <w:rPr>
          <w:rFonts w:asciiTheme="majorHAnsi" w:hAnsiTheme="majorHAnsi"/>
        </w:rPr>
      </w:pPr>
      <w:r w:rsidRPr="000D6982">
        <w:rPr>
          <w:rFonts w:asciiTheme="majorHAnsi" w:hAnsiTheme="majorHAnsi"/>
          <w:b w:val="0"/>
        </w:rPr>
        <w:br w:type="column"/>
      </w:r>
      <w:r w:rsidR="005973B9" w:rsidRPr="000D6982">
        <w:rPr>
          <w:rFonts w:asciiTheme="majorHAnsi" w:hAnsiTheme="majorHAnsi"/>
          <w:color w:val="BF5A14"/>
        </w:rPr>
        <w:br/>
        <w:t xml:space="preserve"> Publications (minimum 5)</w:t>
      </w:r>
    </w:p>
    <w:p w14:paraId="4303CB89" w14:textId="77777777" w:rsidR="00451F46" w:rsidRPr="00451F46" w:rsidRDefault="00451F46" w:rsidP="0001496C">
      <w:pPr>
        <w:pStyle w:val="ListParagraph"/>
        <w:numPr>
          <w:ilvl w:val="0"/>
          <w:numId w:val="3"/>
        </w:numPr>
        <w:pBdr>
          <w:top w:val="nil"/>
          <w:left w:val="nil"/>
          <w:bottom w:val="nil"/>
          <w:right w:val="nil"/>
          <w:between w:val="nil"/>
        </w:pBdr>
        <w:jc w:val="left"/>
        <w:rPr>
          <w:rFonts w:asciiTheme="majorHAnsi" w:hAnsiTheme="majorHAnsi"/>
          <w:sz w:val="18"/>
          <w:szCs w:val="18"/>
        </w:rPr>
      </w:pPr>
      <w:r w:rsidRPr="00451F46">
        <w:rPr>
          <w:rFonts w:asciiTheme="majorHAnsi" w:hAnsiTheme="majorHAnsi"/>
          <w:sz w:val="18"/>
          <w:szCs w:val="18"/>
        </w:rPr>
        <w:t xml:space="preserve">Freeman, R., Smith, A., Dickinson, S., </w:t>
      </w:r>
      <w:proofErr w:type="spellStart"/>
      <w:r w:rsidRPr="00451F46">
        <w:rPr>
          <w:rFonts w:asciiTheme="majorHAnsi" w:hAnsiTheme="majorHAnsi"/>
          <w:sz w:val="18"/>
          <w:szCs w:val="18"/>
        </w:rPr>
        <w:t>Tschannen</w:t>
      </w:r>
      <w:proofErr w:type="spellEnd"/>
      <w:r w:rsidRPr="00451F46">
        <w:rPr>
          <w:rFonts w:asciiTheme="majorHAnsi" w:hAnsiTheme="majorHAnsi"/>
          <w:sz w:val="18"/>
          <w:szCs w:val="18"/>
        </w:rPr>
        <w:t>, D., James, S., &amp; Friedman, C. (2017). Specialty Linens and Pressure Injuries in High-Risk Patients in the Intensive Care Unit. </w:t>
      </w:r>
      <w:r w:rsidRPr="00451F46">
        <w:rPr>
          <w:rFonts w:asciiTheme="majorHAnsi" w:hAnsiTheme="majorHAnsi"/>
          <w:i/>
          <w:iCs/>
          <w:sz w:val="18"/>
          <w:szCs w:val="18"/>
        </w:rPr>
        <w:t>American journal of critical care: an official publication, American Association of Critical-Care Nurses</w:t>
      </w:r>
      <w:r w:rsidRPr="00451F46">
        <w:rPr>
          <w:rFonts w:asciiTheme="majorHAnsi" w:hAnsiTheme="majorHAnsi"/>
          <w:sz w:val="18"/>
          <w:szCs w:val="18"/>
        </w:rPr>
        <w:t>, </w:t>
      </w:r>
      <w:r w:rsidRPr="00451F46">
        <w:rPr>
          <w:rFonts w:asciiTheme="majorHAnsi" w:hAnsiTheme="majorHAnsi"/>
          <w:i/>
          <w:iCs/>
          <w:sz w:val="18"/>
          <w:szCs w:val="18"/>
        </w:rPr>
        <w:t>26</w:t>
      </w:r>
      <w:r w:rsidRPr="00451F46">
        <w:rPr>
          <w:rFonts w:asciiTheme="majorHAnsi" w:hAnsiTheme="majorHAnsi"/>
          <w:sz w:val="18"/>
          <w:szCs w:val="18"/>
        </w:rPr>
        <w:t>(6), 474–481. https://doi.org/10.4037/ajcc2017530</w:t>
      </w:r>
    </w:p>
    <w:p w14:paraId="517C0D0A" w14:textId="7049D606" w:rsidR="005973B9" w:rsidRPr="000D6982" w:rsidRDefault="00CB2A9A" w:rsidP="005973B9">
      <w:pPr>
        <w:pStyle w:val="ListParagraph"/>
        <w:numPr>
          <w:ilvl w:val="0"/>
          <w:numId w:val="3"/>
        </w:numPr>
        <w:tabs>
          <w:tab w:val="left" w:pos="384"/>
        </w:tabs>
        <w:spacing w:line="216" w:lineRule="exact"/>
        <w:ind w:right="137" w:hanging="283"/>
        <w:rPr>
          <w:rFonts w:asciiTheme="majorHAnsi" w:hAnsiTheme="majorHAnsi"/>
          <w:sz w:val="18"/>
        </w:rPr>
      </w:pPr>
      <w:r w:rsidRPr="00CB2A9A">
        <w:rPr>
          <w:rFonts w:asciiTheme="majorHAnsi" w:hAnsiTheme="majorHAnsi"/>
          <w:sz w:val="18"/>
        </w:rPr>
        <w:t xml:space="preserve">Francis, K., Sau Man Pang, Cohen, B., Salter, H., &amp; </w:t>
      </w:r>
      <w:proofErr w:type="spellStart"/>
      <w:r w:rsidRPr="00CB2A9A">
        <w:rPr>
          <w:rFonts w:asciiTheme="majorHAnsi" w:hAnsiTheme="majorHAnsi"/>
          <w:sz w:val="18"/>
        </w:rPr>
        <w:t>Homel</w:t>
      </w:r>
      <w:proofErr w:type="spellEnd"/>
      <w:r w:rsidRPr="00CB2A9A">
        <w:rPr>
          <w:rFonts w:asciiTheme="majorHAnsi" w:hAnsiTheme="majorHAnsi"/>
          <w:sz w:val="18"/>
        </w:rPr>
        <w:t xml:space="preserve">, P. (2017). Disposable Versus Reusable Absorbent </w:t>
      </w:r>
      <w:proofErr w:type="spellStart"/>
      <w:r w:rsidRPr="00CB2A9A">
        <w:rPr>
          <w:rFonts w:asciiTheme="majorHAnsi" w:hAnsiTheme="majorHAnsi"/>
          <w:sz w:val="18"/>
        </w:rPr>
        <w:t>Underpads</w:t>
      </w:r>
      <w:proofErr w:type="spellEnd"/>
      <w:r w:rsidRPr="00CB2A9A">
        <w:rPr>
          <w:rFonts w:asciiTheme="majorHAnsi" w:hAnsiTheme="majorHAnsi"/>
          <w:sz w:val="18"/>
        </w:rPr>
        <w:t xml:space="preserve"> for Prevention of Hospital-Acquired Incontinence-Associated Dermatitis and Pressure Injuries. </w:t>
      </w:r>
      <w:r w:rsidRPr="00CB2A9A">
        <w:rPr>
          <w:rFonts w:asciiTheme="majorHAnsi" w:hAnsiTheme="majorHAnsi"/>
          <w:i/>
          <w:iCs/>
          <w:sz w:val="18"/>
        </w:rPr>
        <w:t>Journal of Wound, Ostomy &amp; Continence Nursing</w:t>
      </w:r>
      <w:r w:rsidRPr="00CB2A9A">
        <w:rPr>
          <w:rFonts w:asciiTheme="majorHAnsi" w:hAnsiTheme="majorHAnsi"/>
          <w:sz w:val="18"/>
        </w:rPr>
        <w:t xml:space="preserve">, </w:t>
      </w:r>
      <w:r w:rsidRPr="00CB2A9A">
        <w:rPr>
          <w:rFonts w:asciiTheme="majorHAnsi" w:hAnsiTheme="majorHAnsi"/>
          <w:i/>
          <w:iCs/>
          <w:sz w:val="18"/>
        </w:rPr>
        <w:t>44</w:t>
      </w:r>
      <w:r w:rsidRPr="00CB2A9A">
        <w:rPr>
          <w:rFonts w:asciiTheme="majorHAnsi" w:hAnsiTheme="majorHAnsi"/>
          <w:sz w:val="18"/>
        </w:rPr>
        <w:t xml:space="preserve">(4), 374–379. </w:t>
      </w:r>
      <w:hyperlink r:id="rId9" w:history="1">
        <w:r w:rsidRPr="00CB2A9A">
          <w:rPr>
            <w:rStyle w:val="Hyperlink"/>
            <w:rFonts w:asciiTheme="majorHAnsi" w:hAnsiTheme="majorHAnsi"/>
            <w:sz w:val="18"/>
          </w:rPr>
          <w:t>https://doi.org/10.1097/WON.0000000000000337</w:t>
        </w:r>
      </w:hyperlink>
      <w:r w:rsidR="005973B9" w:rsidRPr="000D6982">
        <w:rPr>
          <w:rFonts w:asciiTheme="majorHAnsi" w:hAnsiTheme="majorHAnsi"/>
          <w:sz w:val="18"/>
        </w:rPr>
        <w:t>.</w:t>
      </w:r>
    </w:p>
    <w:p w14:paraId="1F0D2AC0" w14:textId="218AC976" w:rsidR="005973B9" w:rsidRDefault="00CB2A9A" w:rsidP="005973B9">
      <w:pPr>
        <w:pStyle w:val="ListParagraph"/>
        <w:numPr>
          <w:ilvl w:val="0"/>
          <w:numId w:val="3"/>
        </w:numPr>
        <w:tabs>
          <w:tab w:val="left" w:pos="384"/>
        </w:tabs>
        <w:spacing w:line="216" w:lineRule="exact"/>
        <w:ind w:right="138" w:hanging="283"/>
        <w:rPr>
          <w:rFonts w:asciiTheme="majorHAnsi" w:hAnsiTheme="majorHAnsi"/>
          <w:sz w:val="18"/>
        </w:rPr>
      </w:pPr>
      <w:r w:rsidRPr="00CB2A9A">
        <w:rPr>
          <w:rFonts w:asciiTheme="majorHAnsi" w:hAnsiTheme="majorHAnsi"/>
          <w:sz w:val="18"/>
        </w:rPr>
        <w:t xml:space="preserve">Schindler, C. A., Mikhailov, T. A., Kuhn, E. M., Christopher, J., Conway, P., </w:t>
      </w:r>
      <w:proofErr w:type="spellStart"/>
      <w:r w:rsidRPr="00CB2A9A">
        <w:rPr>
          <w:rFonts w:asciiTheme="majorHAnsi" w:hAnsiTheme="majorHAnsi"/>
          <w:sz w:val="18"/>
        </w:rPr>
        <w:t>Ridling</w:t>
      </w:r>
      <w:proofErr w:type="spellEnd"/>
      <w:r w:rsidRPr="00CB2A9A">
        <w:rPr>
          <w:rFonts w:asciiTheme="majorHAnsi" w:hAnsiTheme="majorHAnsi"/>
          <w:sz w:val="18"/>
        </w:rPr>
        <w:t>, D., Scott, A. M., &amp; Simpson, V. S. (2011). Protecting fragile skin: nursing interventions to decrease development of pressure ulcers in pediatric intensive care. </w:t>
      </w:r>
      <w:r w:rsidRPr="00CB2A9A">
        <w:rPr>
          <w:rFonts w:asciiTheme="majorHAnsi" w:hAnsiTheme="majorHAnsi"/>
          <w:i/>
          <w:iCs/>
          <w:sz w:val="18"/>
        </w:rPr>
        <w:t>American journal of critical care: an official publication, American Association of Critical-Care Nurses</w:t>
      </w:r>
      <w:r w:rsidRPr="00CB2A9A">
        <w:rPr>
          <w:rFonts w:asciiTheme="majorHAnsi" w:hAnsiTheme="majorHAnsi"/>
          <w:sz w:val="18"/>
        </w:rPr>
        <w:t>, </w:t>
      </w:r>
      <w:r w:rsidRPr="00CB2A9A">
        <w:rPr>
          <w:rFonts w:asciiTheme="majorHAnsi" w:hAnsiTheme="majorHAnsi"/>
          <w:i/>
          <w:iCs/>
          <w:sz w:val="18"/>
        </w:rPr>
        <w:t>20</w:t>
      </w:r>
      <w:r w:rsidRPr="00CB2A9A">
        <w:rPr>
          <w:rFonts w:asciiTheme="majorHAnsi" w:hAnsiTheme="majorHAnsi"/>
          <w:sz w:val="18"/>
        </w:rPr>
        <w:t xml:space="preserve">(1), 26–35. </w:t>
      </w:r>
      <w:hyperlink r:id="rId10" w:history="1">
        <w:r w:rsidRPr="00CB2A9A">
          <w:rPr>
            <w:rStyle w:val="Hyperlink"/>
            <w:rFonts w:asciiTheme="majorHAnsi" w:hAnsiTheme="majorHAnsi"/>
            <w:sz w:val="18"/>
          </w:rPr>
          <w:t>https://doi.org/10.4037/ajcc2011754</w:t>
        </w:r>
      </w:hyperlink>
    </w:p>
    <w:p w14:paraId="14206775" w14:textId="0CFAB595" w:rsidR="005973B9" w:rsidRPr="0000228F" w:rsidRDefault="00235F8C" w:rsidP="0000228F">
      <w:pPr>
        <w:pStyle w:val="ListParagraph"/>
        <w:numPr>
          <w:ilvl w:val="0"/>
          <w:numId w:val="3"/>
        </w:numPr>
        <w:tabs>
          <w:tab w:val="left" w:pos="384"/>
        </w:tabs>
        <w:spacing w:line="216" w:lineRule="exact"/>
        <w:ind w:right="138" w:hanging="283"/>
        <w:rPr>
          <w:rFonts w:asciiTheme="majorHAnsi" w:hAnsiTheme="majorHAnsi"/>
          <w:sz w:val="18"/>
          <w:szCs w:val="18"/>
        </w:rPr>
      </w:pPr>
      <w:proofErr w:type="spellStart"/>
      <w:r w:rsidRPr="0000228F">
        <w:rPr>
          <w:rFonts w:asciiTheme="majorHAnsi" w:hAnsiTheme="majorHAnsi"/>
          <w:sz w:val="18"/>
          <w:szCs w:val="18"/>
        </w:rPr>
        <w:t>Sugama</w:t>
      </w:r>
      <w:proofErr w:type="spellEnd"/>
      <w:r w:rsidRPr="0000228F">
        <w:rPr>
          <w:rFonts w:asciiTheme="majorHAnsi" w:hAnsiTheme="majorHAnsi"/>
          <w:sz w:val="18"/>
          <w:szCs w:val="18"/>
        </w:rPr>
        <w:t xml:space="preserve">, J., </w:t>
      </w:r>
      <w:proofErr w:type="spellStart"/>
      <w:r w:rsidRPr="0000228F">
        <w:rPr>
          <w:rFonts w:asciiTheme="majorHAnsi" w:hAnsiTheme="majorHAnsi"/>
          <w:sz w:val="18"/>
          <w:szCs w:val="18"/>
        </w:rPr>
        <w:t>Sanada</w:t>
      </w:r>
      <w:proofErr w:type="spellEnd"/>
      <w:r w:rsidRPr="0000228F">
        <w:rPr>
          <w:rFonts w:asciiTheme="majorHAnsi" w:hAnsiTheme="majorHAnsi"/>
          <w:sz w:val="18"/>
          <w:szCs w:val="18"/>
        </w:rPr>
        <w:t xml:space="preserve">, H., Shigeta, Y., </w:t>
      </w:r>
      <w:proofErr w:type="spellStart"/>
      <w:r w:rsidRPr="0000228F">
        <w:rPr>
          <w:rFonts w:asciiTheme="majorHAnsi" w:hAnsiTheme="majorHAnsi"/>
          <w:sz w:val="18"/>
          <w:szCs w:val="18"/>
        </w:rPr>
        <w:t>Nakagami</w:t>
      </w:r>
      <w:proofErr w:type="spellEnd"/>
      <w:r w:rsidRPr="0000228F">
        <w:rPr>
          <w:rFonts w:asciiTheme="majorHAnsi" w:hAnsiTheme="majorHAnsi"/>
          <w:sz w:val="18"/>
          <w:szCs w:val="18"/>
        </w:rPr>
        <w:t>, G., &amp; Konya, C. (2012). Efficacy of an improved absorbent pad on incontinence-associated dermatitis in older women: cluster randomized controlled trial. </w:t>
      </w:r>
      <w:r w:rsidRPr="0000228F">
        <w:rPr>
          <w:rFonts w:asciiTheme="majorHAnsi" w:hAnsiTheme="majorHAnsi"/>
          <w:i/>
          <w:iCs/>
          <w:sz w:val="18"/>
          <w:szCs w:val="18"/>
        </w:rPr>
        <w:t>BMC geriatrics, 22.</w:t>
      </w:r>
    </w:p>
    <w:p w14:paraId="3A2DA1A9" w14:textId="78654C1A" w:rsidR="005973B9" w:rsidRPr="000D6982" w:rsidRDefault="005973B9" w:rsidP="005973B9">
      <w:pPr>
        <w:pStyle w:val="BodyText"/>
        <w:spacing w:before="85" w:line="216" w:lineRule="exact"/>
        <w:ind w:left="383" w:right="138" w:hanging="284"/>
        <w:jc w:val="both"/>
        <w:rPr>
          <w:rFonts w:asciiTheme="majorHAnsi" w:hAnsiTheme="majorHAnsi"/>
        </w:rPr>
      </w:pPr>
      <w:r w:rsidRPr="000D6982">
        <w:rPr>
          <w:rFonts w:asciiTheme="majorHAnsi" w:hAnsiTheme="majorHAnsi"/>
        </w:rPr>
        <w:t xml:space="preserve">5. </w:t>
      </w:r>
      <w:r w:rsidR="006065E2" w:rsidRPr="006065E2">
        <w:rPr>
          <w:rFonts w:asciiTheme="majorHAnsi" w:hAnsiTheme="majorHAnsi"/>
        </w:rPr>
        <w:t xml:space="preserve">Kristiansen, L., </w:t>
      </w:r>
      <w:proofErr w:type="spellStart"/>
      <w:r w:rsidR="006065E2" w:rsidRPr="006065E2">
        <w:rPr>
          <w:rFonts w:asciiTheme="majorHAnsi" w:hAnsiTheme="majorHAnsi"/>
        </w:rPr>
        <w:t>Björk</w:t>
      </w:r>
      <w:proofErr w:type="spellEnd"/>
      <w:r w:rsidR="006065E2" w:rsidRPr="006065E2">
        <w:rPr>
          <w:rFonts w:asciiTheme="majorHAnsi" w:hAnsiTheme="majorHAnsi"/>
        </w:rPr>
        <w:t xml:space="preserve">, A., </w:t>
      </w:r>
      <w:proofErr w:type="spellStart"/>
      <w:r w:rsidR="006065E2" w:rsidRPr="006065E2">
        <w:rPr>
          <w:rFonts w:asciiTheme="majorHAnsi" w:hAnsiTheme="majorHAnsi"/>
        </w:rPr>
        <w:t>Kock</w:t>
      </w:r>
      <w:proofErr w:type="spellEnd"/>
      <w:r w:rsidR="006065E2" w:rsidRPr="006065E2">
        <w:rPr>
          <w:rFonts w:asciiTheme="majorHAnsi" w:hAnsiTheme="majorHAnsi"/>
        </w:rPr>
        <w:t xml:space="preserve">, V. B., Nilsson, A., </w:t>
      </w:r>
      <w:proofErr w:type="spellStart"/>
      <w:r w:rsidR="006065E2" w:rsidRPr="006065E2">
        <w:rPr>
          <w:rFonts w:asciiTheme="majorHAnsi" w:hAnsiTheme="majorHAnsi"/>
        </w:rPr>
        <w:t>Rönngren</w:t>
      </w:r>
      <w:proofErr w:type="spellEnd"/>
      <w:r w:rsidR="006065E2" w:rsidRPr="006065E2">
        <w:rPr>
          <w:rFonts w:asciiTheme="majorHAnsi" w:hAnsiTheme="majorHAnsi"/>
        </w:rPr>
        <w:t xml:space="preserve">, Y., </w:t>
      </w:r>
      <w:proofErr w:type="spellStart"/>
      <w:r w:rsidR="006065E2" w:rsidRPr="006065E2">
        <w:rPr>
          <w:rFonts w:asciiTheme="majorHAnsi" w:hAnsiTheme="majorHAnsi"/>
        </w:rPr>
        <w:t>Smedberg</w:t>
      </w:r>
      <w:proofErr w:type="spellEnd"/>
      <w:r w:rsidR="006065E2" w:rsidRPr="006065E2">
        <w:rPr>
          <w:rFonts w:asciiTheme="majorHAnsi" w:hAnsiTheme="majorHAnsi"/>
        </w:rPr>
        <w:t xml:space="preserve">, A., &amp; </w:t>
      </w:r>
      <w:proofErr w:type="spellStart"/>
      <w:r w:rsidR="006065E2" w:rsidRPr="006065E2">
        <w:rPr>
          <w:rFonts w:asciiTheme="majorHAnsi" w:hAnsiTheme="majorHAnsi"/>
        </w:rPr>
        <w:t>Trillo</w:t>
      </w:r>
      <w:proofErr w:type="spellEnd"/>
      <w:r w:rsidR="006065E2" w:rsidRPr="006065E2">
        <w:rPr>
          <w:rFonts w:asciiTheme="majorHAnsi" w:hAnsiTheme="majorHAnsi"/>
        </w:rPr>
        <w:t xml:space="preserve">, Å. (2011). Urinary incontinence and newly invented pad technique: Patients’, close relatives’ and nursing staff’s experiences and beliefs. </w:t>
      </w:r>
      <w:r w:rsidR="006065E2" w:rsidRPr="006065E2">
        <w:rPr>
          <w:rFonts w:asciiTheme="majorHAnsi" w:hAnsiTheme="majorHAnsi"/>
          <w:i/>
          <w:iCs/>
        </w:rPr>
        <w:t>International Journal of Urological Nursing</w:t>
      </w:r>
      <w:r w:rsidR="006065E2" w:rsidRPr="006065E2">
        <w:rPr>
          <w:rFonts w:asciiTheme="majorHAnsi" w:hAnsiTheme="majorHAnsi"/>
        </w:rPr>
        <w:t xml:space="preserve">, </w:t>
      </w:r>
      <w:r w:rsidR="006065E2" w:rsidRPr="006065E2">
        <w:rPr>
          <w:rFonts w:asciiTheme="majorHAnsi" w:hAnsiTheme="majorHAnsi"/>
          <w:i/>
          <w:iCs/>
        </w:rPr>
        <w:t>5</w:t>
      </w:r>
      <w:r w:rsidR="006065E2" w:rsidRPr="006065E2">
        <w:rPr>
          <w:rFonts w:asciiTheme="majorHAnsi" w:hAnsiTheme="majorHAnsi"/>
        </w:rPr>
        <w:t xml:space="preserve">(1), 21–30. </w:t>
      </w:r>
      <w:hyperlink r:id="rId11" w:history="1">
        <w:r w:rsidR="006065E2" w:rsidRPr="006065E2">
          <w:rPr>
            <w:rStyle w:val="Hyperlink"/>
            <w:rFonts w:asciiTheme="majorHAnsi" w:hAnsiTheme="majorHAnsi"/>
          </w:rPr>
          <w:t>https://doi.org/10.1111/j.1749-771X.2011.01110.x</w:t>
        </w:r>
      </w:hyperlink>
      <w:r w:rsidRPr="000D6982">
        <w:rPr>
          <w:rFonts w:asciiTheme="majorHAnsi" w:hAnsiTheme="majorHAnsi"/>
        </w:rPr>
        <w:t>.</w:t>
      </w:r>
    </w:p>
    <w:p w14:paraId="039FA60B" w14:textId="77777777" w:rsidR="00AE3E37" w:rsidRPr="000D6982" w:rsidRDefault="00AE3E37" w:rsidP="008756E6">
      <w:pPr>
        <w:tabs>
          <w:tab w:val="left" w:pos="384"/>
        </w:tabs>
        <w:ind w:right="117"/>
        <w:rPr>
          <w:rFonts w:asciiTheme="majorHAnsi" w:hAnsiTheme="majorHAnsi"/>
        </w:rPr>
      </w:pPr>
    </w:p>
    <w:p w14:paraId="1EB198B7" w14:textId="01115F6B" w:rsidR="00AE3E37" w:rsidRPr="000D6982" w:rsidRDefault="00AE3E37">
      <w:pPr>
        <w:spacing w:line="200" w:lineRule="exact"/>
        <w:jc w:val="both"/>
        <w:rPr>
          <w:rFonts w:asciiTheme="majorHAnsi" w:hAnsiTheme="majorHAnsi"/>
        </w:rPr>
        <w:sectPr w:rsidR="00AE3E37" w:rsidRPr="000D6982">
          <w:type w:val="continuous"/>
          <w:pgSz w:w="11910" w:h="16840"/>
          <w:pgMar w:top="1740" w:right="600" w:bottom="840" w:left="620" w:header="720" w:footer="720" w:gutter="0"/>
          <w:cols w:num="2" w:space="720" w:equalWidth="0">
            <w:col w:w="5214" w:space="138"/>
            <w:col w:w="5338"/>
          </w:cols>
        </w:sectPr>
      </w:pPr>
    </w:p>
    <w:p w14:paraId="1E3C581C" w14:textId="77777777" w:rsidR="00AE3E37" w:rsidRPr="000D6982" w:rsidRDefault="00AE3E37">
      <w:pPr>
        <w:pStyle w:val="BodyText"/>
        <w:rPr>
          <w:rFonts w:asciiTheme="majorHAnsi" w:hAnsiTheme="majorHAnsi"/>
          <w:sz w:val="20"/>
        </w:rPr>
      </w:pPr>
    </w:p>
    <w:p w14:paraId="0C0CE36C" w14:textId="77777777" w:rsidR="00AE3E37" w:rsidRPr="000D6982" w:rsidRDefault="00292ED9">
      <w:pPr>
        <w:pStyle w:val="BodyText"/>
        <w:spacing w:line="40" w:lineRule="exact"/>
        <w:ind w:left="2202"/>
        <w:rPr>
          <w:rFonts w:asciiTheme="majorHAnsi" w:hAnsiTheme="majorHAnsi"/>
          <w:sz w:val="4"/>
        </w:rPr>
      </w:pPr>
      <w:r w:rsidRPr="000D6982">
        <w:rPr>
          <w:rFonts w:asciiTheme="majorHAnsi" w:hAnsiTheme="majorHAnsi"/>
          <w:noProof/>
          <w:sz w:val="4"/>
          <w:lang w:val="en-IN" w:eastAsia="en-IN"/>
        </w:rPr>
        <mc:AlternateContent>
          <mc:Choice Requires="wpg">
            <w:drawing>
              <wp:inline distT="0" distB="0" distL="0" distR="0" wp14:anchorId="03729F85" wp14:editId="5F5E52C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DDB918"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657D5104" w14:textId="12FDA7E4" w:rsidR="00AE3E37" w:rsidRPr="00041A28" w:rsidRDefault="00A9710C" w:rsidP="00404E5B">
      <w:pPr>
        <w:spacing w:before="92"/>
        <w:ind w:right="4234"/>
        <w:rPr>
          <w:rFonts w:asciiTheme="majorHAnsi" w:hAnsiTheme="majorHAnsi"/>
          <w:sz w:val="18"/>
          <w:szCs w:val="18"/>
        </w:rPr>
      </w:pPr>
      <w:r w:rsidRPr="00041A28">
        <w:rPr>
          <w:rFonts w:asciiTheme="majorHAnsi" w:hAnsiTheme="majorHAnsi"/>
          <w:color w:val="BF5A14"/>
          <w:sz w:val="18"/>
          <w:szCs w:val="18"/>
        </w:rPr>
        <w:t>Biography</w:t>
      </w:r>
      <w:r w:rsidR="00404E5B" w:rsidRPr="00041A28">
        <w:rPr>
          <w:rFonts w:asciiTheme="majorHAnsi" w:hAnsiTheme="majorHAnsi"/>
          <w:color w:val="BF5A14"/>
          <w:sz w:val="18"/>
          <w:szCs w:val="18"/>
        </w:rPr>
        <w:t xml:space="preserve"> (</w:t>
      </w:r>
      <w:proofErr w:type="gramStart"/>
      <w:r w:rsidR="00404E5B" w:rsidRPr="00041A28">
        <w:rPr>
          <w:rFonts w:asciiTheme="majorHAnsi" w:hAnsiTheme="majorHAnsi"/>
          <w:color w:val="BF5A14"/>
          <w:sz w:val="18"/>
          <w:szCs w:val="18"/>
        </w:rPr>
        <w:t>150 word</w:t>
      </w:r>
      <w:proofErr w:type="gramEnd"/>
      <w:r w:rsidR="00404E5B" w:rsidRPr="00041A28">
        <w:rPr>
          <w:rFonts w:asciiTheme="majorHAnsi" w:hAnsiTheme="majorHAnsi"/>
          <w:color w:val="BF5A14"/>
          <w:sz w:val="18"/>
          <w:szCs w:val="18"/>
        </w:rPr>
        <w:t xml:space="preserve"> limit)</w:t>
      </w:r>
    </w:p>
    <w:p w14:paraId="1399FBCB" w14:textId="54A76882" w:rsidR="000D6982" w:rsidRPr="00041A28" w:rsidRDefault="007C0ECE" w:rsidP="000D6982">
      <w:pPr>
        <w:spacing w:line="360" w:lineRule="auto"/>
        <w:jc w:val="both"/>
        <w:rPr>
          <w:rFonts w:asciiTheme="majorHAnsi" w:hAnsiTheme="majorHAnsi"/>
          <w:sz w:val="18"/>
          <w:szCs w:val="18"/>
        </w:rPr>
      </w:pPr>
      <w:r>
        <w:rPr>
          <w:rFonts w:asciiTheme="majorHAnsi" w:hAnsiTheme="majorHAnsi"/>
          <w:sz w:val="18"/>
          <w:szCs w:val="18"/>
        </w:rPr>
        <w:t>Anthony Poloyapoy, RN</w:t>
      </w:r>
      <w:r w:rsidR="000D6982" w:rsidRPr="00041A28">
        <w:rPr>
          <w:rFonts w:asciiTheme="majorHAnsi" w:hAnsiTheme="majorHAnsi"/>
          <w:sz w:val="18"/>
          <w:szCs w:val="18"/>
        </w:rPr>
        <w:t xml:space="preserve"> </w:t>
      </w:r>
      <w:r>
        <w:rPr>
          <w:rFonts w:asciiTheme="majorHAnsi" w:hAnsiTheme="majorHAnsi"/>
          <w:sz w:val="18"/>
          <w:szCs w:val="18"/>
        </w:rPr>
        <w:t>is current</w:t>
      </w:r>
      <w:r w:rsidR="00642659">
        <w:rPr>
          <w:rFonts w:asciiTheme="majorHAnsi" w:hAnsiTheme="majorHAnsi"/>
          <w:sz w:val="18"/>
          <w:szCs w:val="18"/>
        </w:rPr>
        <w:t>ly a nursing</w:t>
      </w:r>
      <w:r>
        <w:rPr>
          <w:rFonts w:asciiTheme="majorHAnsi" w:hAnsiTheme="majorHAnsi"/>
          <w:sz w:val="18"/>
          <w:szCs w:val="18"/>
        </w:rPr>
        <w:t xml:space="preserve"> student of Thomas Edison State </w:t>
      </w:r>
      <w:r w:rsidR="00F466A3">
        <w:rPr>
          <w:rFonts w:asciiTheme="majorHAnsi" w:hAnsiTheme="majorHAnsi"/>
          <w:sz w:val="18"/>
          <w:szCs w:val="18"/>
        </w:rPr>
        <w:t>University in</w:t>
      </w:r>
      <w:r w:rsidR="000D6982" w:rsidRPr="00041A28">
        <w:rPr>
          <w:rFonts w:asciiTheme="majorHAnsi" w:hAnsiTheme="majorHAnsi"/>
          <w:sz w:val="18"/>
          <w:szCs w:val="18"/>
        </w:rPr>
        <w:t xml:space="preserve"> </w:t>
      </w:r>
      <w:r w:rsidR="00642659">
        <w:rPr>
          <w:rFonts w:asciiTheme="majorHAnsi" w:hAnsiTheme="majorHAnsi"/>
          <w:sz w:val="18"/>
          <w:szCs w:val="18"/>
        </w:rPr>
        <w:t>Trenton</w:t>
      </w:r>
      <w:r w:rsidR="000D6982" w:rsidRPr="00041A28">
        <w:rPr>
          <w:rFonts w:asciiTheme="majorHAnsi" w:hAnsiTheme="majorHAnsi"/>
          <w:sz w:val="18"/>
          <w:szCs w:val="18"/>
        </w:rPr>
        <w:t xml:space="preserve">, </w:t>
      </w:r>
      <w:r w:rsidR="00642659">
        <w:rPr>
          <w:rFonts w:asciiTheme="majorHAnsi" w:hAnsiTheme="majorHAnsi"/>
          <w:sz w:val="18"/>
          <w:szCs w:val="18"/>
        </w:rPr>
        <w:t>NJ</w:t>
      </w:r>
      <w:r w:rsidR="000D6982" w:rsidRPr="00041A28">
        <w:rPr>
          <w:rFonts w:asciiTheme="majorHAnsi" w:hAnsiTheme="majorHAnsi"/>
          <w:sz w:val="18"/>
          <w:szCs w:val="18"/>
        </w:rPr>
        <w:t xml:space="preserve"> </w:t>
      </w:r>
      <w:r w:rsidR="00A50C3C">
        <w:rPr>
          <w:rFonts w:asciiTheme="majorHAnsi" w:hAnsiTheme="majorHAnsi"/>
          <w:sz w:val="18"/>
          <w:szCs w:val="18"/>
        </w:rPr>
        <w:t xml:space="preserve">finishing his </w:t>
      </w:r>
      <w:r w:rsidR="00480DA9">
        <w:rPr>
          <w:rFonts w:asciiTheme="majorHAnsi" w:hAnsiTheme="majorHAnsi"/>
          <w:sz w:val="18"/>
          <w:szCs w:val="18"/>
        </w:rPr>
        <w:t>undergraduate d</w:t>
      </w:r>
      <w:r w:rsidR="00A50C3C">
        <w:rPr>
          <w:rFonts w:asciiTheme="majorHAnsi" w:hAnsiTheme="majorHAnsi"/>
          <w:sz w:val="18"/>
          <w:szCs w:val="18"/>
        </w:rPr>
        <w:t xml:space="preserve">egree </w:t>
      </w:r>
      <w:r w:rsidR="00480DA9">
        <w:rPr>
          <w:rFonts w:asciiTheme="majorHAnsi" w:hAnsiTheme="majorHAnsi"/>
          <w:sz w:val="18"/>
          <w:szCs w:val="18"/>
        </w:rPr>
        <w:t xml:space="preserve">of </w:t>
      </w:r>
      <w:proofErr w:type="spellStart"/>
      <w:r w:rsidR="00B573FD">
        <w:rPr>
          <w:rFonts w:asciiTheme="majorHAnsi" w:hAnsiTheme="majorHAnsi"/>
          <w:sz w:val="18"/>
          <w:szCs w:val="18"/>
        </w:rPr>
        <w:t>Bachelor’s</w:t>
      </w:r>
      <w:proofErr w:type="spellEnd"/>
      <w:r w:rsidR="00480DA9">
        <w:rPr>
          <w:rFonts w:asciiTheme="majorHAnsi" w:hAnsiTheme="majorHAnsi"/>
          <w:sz w:val="18"/>
          <w:szCs w:val="18"/>
        </w:rPr>
        <w:t xml:space="preserve"> </w:t>
      </w:r>
      <w:r w:rsidR="00B573FD">
        <w:rPr>
          <w:rFonts w:asciiTheme="majorHAnsi" w:hAnsiTheme="majorHAnsi"/>
          <w:sz w:val="18"/>
          <w:szCs w:val="18"/>
        </w:rPr>
        <w:t xml:space="preserve">of Science </w:t>
      </w:r>
      <w:r w:rsidR="00A50C3C">
        <w:rPr>
          <w:rFonts w:asciiTheme="majorHAnsi" w:hAnsiTheme="majorHAnsi"/>
          <w:sz w:val="18"/>
          <w:szCs w:val="18"/>
        </w:rPr>
        <w:t>in Nursing.</w:t>
      </w:r>
      <w:r w:rsidR="00393B42">
        <w:rPr>
          <w:rFonts w:asciiTheme="majorHAnsi" w:hAnsiTheme="majorHAnsi"/>
          <w:sz w:val="18"/>
          <w:szCs w:val="18"/>
        </w:rPr>
        <w:t xml:space="preserve">  He has an Associate’s in Nursing from Bergen Community College.</w:t>
      </w:r>
      <w:r w:rsidR="00ED3D5D">
        <w:rPr>
          <w:rFonts w:asciiTheme="majorHAnsi" w:hAnsiTheme="majorHAnsi"/>
          <w:sz w:val="18"/>
          <w:szCs w:val="18"/>
        </w:rPr>
        <w:t xml:space="preserve">  </w:t>
      </w:r>
      <w:r w:rsidR="00A50C3C">
        <w:rPr>
          <w:rFonts w:asciiTheme="majorHAnsi" w:hAnsiTheme="majorHAnsi"/>
          <w:sz w:val="18"/>
          <w:szCs w:val="18"/>
        </w:rPr>
        <w:t xml:space="preserve">He currently works as a </w:t>
      </w:r>
      <w:r w:rsidR="005D1AD4">
        <w:rPr>
          <w:rFonts w:asciiTheme="majorHAnsi" w:hAnsiTheme="majorHAnsi"/>
          <w:sz w:val="18"/>
          <w:szCs w:val="18"/>
        </w:rPr>
        <w:t>staff nurse in the behavioral unit of Morristown Medical Center in Morristown, NJ</w:t>
      </w:r>
      <w:r w:rsidR="00F466A3">
        <w:rPr>
          <w:rFonts w:asciiTheme="majorHAnsi" w:hAnsiTheme="majorHAnsi"/>
          <w:sz w:val="18"/>
          <w:szCs w:val="18"/>
        </w:rPr>
        <w:t>.  He has</w:t>
      </w:r>
      <w:r w:rsidR="00326F4F">
        <w:rPr>
          <w:rFonts w:asciiTheme="majorHAnsi" w:hAnsiTheme="majorHAnsi"/>
          <w:sz w:val="18"/>
          <w:szCs w:val="18"/>
        </w:rPr>
        <w:t xml:space="preserve"> 10 years</w:t>
      </w:r>
      <w:r w:rsidR="00D237B0">
        <w:rPr>
          <w:rFonts w:asciiTheme="majorHAnsi" w:hAnsiTheme="majorHAnsi"/>
          <w:sz w:val="18"/>
          <w:szCs w:val="18"/>
        </w:rPr>
        <w:t xml:space="preserve"> of nursing</w:t>
      </w:r>
      <w:r w:rsidR="00326F4F">
        <w:rPr>
          <w:rFonts w:asciiTheme="majorHAnsi" w:hAnsiTheme="majorHAnsi"/>
          <w:sz w:val="18"/>
          <w:szCs w:val="18"/>
        </w:rPr>
        <w:t xml:space="preserve"> experience in mental health working with </w:t>
      </w:r>
      <w:r w:rsidR="0001752B">
        <w:rPr>
          <w:rFonts w:asciiTheme="majorHAnsi" w:hAnsiTheme="majorHAnsi"/>
          <w:sz w:val="18"/>
          <w:szCs w:val="18"/>
        </w:rPr>
        <w:t xml:space="preserve">acute and chronic mentally-ill </w:t>
      </w:r>
      <w:r w:rsidR="00F252A2">
        <w:rPr>
          <w:rFonts w:asciiTheme="majorHAnsi" w:hAnsiTheme="majorHAnsi"/>
          <w:sz w:val="18"/>
          <w:szCs w:val="18"/>
        </w:rPr>
        <w:t xml:space="preserve">hospitalized </w:t>
      </w:r>
      <w:r w:rsidR="0001752B">
        <w:rPr>
          <w:rFonts w:asciiTheme="majorHAnsi" w:hAnsiTheme="majorHAnsi"/>
          <w:sz w:val="18"/>
          <w:szCs w:val="18"/>
        </w:rPr>
        <w:t xml:space="preserve">patients in </w:t>
      </w:r>
      <w:r w:rsidR="001475A6">
        <w:rPr>
          <w:rFonts w:asciiTheme="majorHAnsi" w:hAnsiTheme="majorHAnsi"/>
          <w:sz w:val="18"/>
          <w:szCs w:val="18"/>
        </w:rPr>
        <w:t>both</w:t>
      </w:r>
      <w:r w:rsidR="0001752B">
        <w:rPr>
          <w:rFonts w:asciiTheme="majorHAnsi" w:hAnsiTheme="majorHAnsi"/>
          <w:sz w:val="18"/>
          <w:szCs w:val="18"/>
        </w:rPr>
        <w:t xml:space="preserve"> voluntary and involuntary setting</w:t>
      </w:r>
      <w:r w:rsidR="001475A6">
        <w:rPr>
          <w:rFonts w:asciiTheme="majorHAnsi" w:hAnsiTheme="majorHAnsi"/>
          <w:sz w:val="18"/>
          <w:szCs w:val="18"/>
        </w:rPr>
        <w:t xml:space="preserve">.  </w:t>
      </w:r>
      <w:r w:rsidR="000D6982" w:rsidRPr="00041A28">
        <w:rPr>
          <w:rFonts w:asciiTheme="majorHAnsi" w:hAnsiTheme="majorHAnsi"/>
          <w:sz w:val="18"/>
          <w:szCs w:val="18"/>
          <w:highlight w:val="yellow"/>
        </w:rPr>
        <w:t>(Up to 100 words)</w:t>
      </w:r>
      <w:r w:rsidR="000D6982" w:rsidRPr="00041A28">
        <w:rPr>
          <w:rFonts w:asciiTheme="majorHAnsi" w:hAnsiTheme="majorHAnsi"/>
          <w:sz w:val="18"/>
          <w:szCs w:val="18"/>
        </w:rPr>
        <w:tab/>
      </w:r>
    </w:p>
    <w:p w14:paraId="155D5F75" w14:textId="77777777" w:rsidR="00AE3E37" w:rsidRPr="000D6982" w:rsidRDefault="00AE3E37">
      <w:pPr>
        <w:pStyle w:val="BodyText"/>
        <w:rPr>
          <w:rFonts w:asciiTheme="majorHAnsi" w:hAnsiTheme="majorHAnsi"/>
          <w:sz w:val="20"/>
        </w:rPr>
      </w:pPr>
    </w:p>
    <w:p w14:paraId="3A23D4A2" w14:textId="2B67C68E" w:rsidR="000D6982" w:rsidRPr="00041A28" w:rsidRDefault="000D6982" w:rsidP="000D6982">
      <w:pPr>
        <w:rPr>
          <w:rFonts w:asciiTheme="majorHAnsi" w:hAnsiTheme="majorHAnsi"/>
          <w:sz w:val="18"/>
          <w:szCs w:val="18"/>
        </w:rPr>
      </w:pPr>
      <w:r w:rsidRPr="00041A28">
        <w:rPr>
          <w:rFonts w:asciiTheme="majorHAnsi" w:hAnsiTheme="majorHAnsi"/>
          <w:b/>
          <w:sz w:val="18"/>
          <w:szCs w:val="18"/>
        </w:rPr>
        <w:t>Keywords:</w:t>
      </w:r>
      <w:r w:rsidRPr="00041A28">
        <w:rPr>
          <w:rFonts w:asciiTheme="majorHAnsi" w:hAnsiTheme="majorHAnsi"/>
          <w:sz w:val="18"/>
          <w:szCs w:val="18"/>
        </w:rPr>
        <w:t xml:space="preserve"> </w:t>
      </w:r>
      <w:r w:rsidR="00280117">
        <w:rPr>
          <w:rFonts w:asciiTheme="majorHAnsi" w:hAnsiTheme="majorHAnsi"/>
          <w:sz w:val="18"/>
          <w:szCs w:val="18"/>
        </w:rPr>
        <w:t>bedding and linens</w:t>
      </w:r>
      <w:r w:rsidR="00280117">
        <w:rPr>
          <w:rFonts w:asciiTheme="majorHAnsi" w:hAnsiTheme="majorHAnsi"/>
          <w:sz w:val="18"/>
          <w:szCs w:val="18"/>
        </w:rPr>
        <w:t xml:space="preserve">, </w:t>
      </w:r>
      <w:r w:rsidR="00280117">
        <w:rPr>
          <w:rFonts w:asciiTheme="majorHAnsi" w:hAnsiTheme="majorHAnsi"/>
          <w:sz w:val="18"/>
          <w:szCs w:val="18"/>
        </w:rPr>
        <w:t>dermatitis,</w:t>
      </w:r>
      <w:r w:rsidR="00280117">
        <w:rPr>
          <w:rFonts w:asciiTheme="majorHAnsi" w:hAnsiTheme="majorHAnsi"/>
          <w:sz w:val="18"/>
          <w:szCs w:val="18"/>
        </w:rPr>
        <w:t xml:space="preserve"> </w:t>
      </w:r>
      <w:r w:rsidR="007B3243">
        <w:rPr>
          <w:rFonts w:asciiTheme="majorHAnsi" w:hAnsiTheme="majorHAnsi"/>
          <w:sz w:val="18"/>
          <w:szCs w:val="18"/>
        </w:rPr>
        <w:t>incontinence,</w:t>
      </w:r>
      <w:r w:rsidR="00280117">
        <w:rPr>
          <w:rFonts w:asciiTheme="majorHAnsi" w:hAnsiTheme="majorHAnsi"/>
          <w:sz w:val="18"/>
          <w:szCs w:val="18"/>
        </w:rPr>
        <w:t xml:space="preserve"> </w:t>
      </w:r>
      <w:r w:rsidR="00280117">
        <w:rPr>
          <w:rFonts w:asciiTheme="majorHAnsi" w:hAnsiTheme="majorHAnsi"/>
          <w:sz w:val="18"/>
          <w:szCs w:val="18"/>
        </w:rPr>
        <w:t>incontinence aids</w:t>
      </w:r>
      <w:r w:rsidR="008D4432">
        <w:rPr>
          <w:rFonts w:asciiTheme="majorHAnsi" w:hAnsiTheme="majorHAnsi"/>
          <w:sz w:val="18"/>
          <w:szCs w:val="18"/>
        </w:rPr>
        <w:t>,</w:t>
      </w:r>
      <w:r w:rsidR="007B3243">
        <w:rPr>
          <w:rFonts w:asciiTheme="majorHAnsi" w:hAnsiTheme="majorHAnsi"/>
          <w:sz w:val="18"/>
          <w:szCs w:val="18"/>
        </w:rPr>
        <w:t xml:space="preserve"> </w:t>
      </w:r>
      <w:r w:rsidR="008D4432">
        <w:rPr>
          <w:rFonts w:asciiTheme="majorHAnsi" w:hAnsiTheme="majorHAnsi"/>
          <w:sz w:val="18"/>
          <w:szCs w:val="18"/>
        </w:rPr>
        <w:t>pressure ulcer,</w:t>
      </w:r>
      <w:r w:rsidR="008D4432">
        <w:rPr>
          <w:rFonts w:asciiTheme="majorHAnsi" w:hAnsiTheme="majorHAnsi"/>
          <w:sz w:val="18"/>
          <w:szCs w:val="18"/>
        </w:rPr>
        <w:t xml:space="preserve"> </w:t>
      </w:r>
      <w:proofErr w:type="spellStart"/>
      <w:r w:rsidR="0073114B">
        <w:rPr>
          <w:rFonts w:asciiTheme="majorHAnsi" w:hAnsiTheme="majorHAnsi"/>
          <w:sz w:val="18"/>
          <w:szCs w:val="18"/>
        </w:rPr>
        <w:t>underpads</w:t>
      </w:r>
      <w:proofErr w:type="spellEnd"/>
      <w:r w:rsidR="0073114B">
        <w:rPr>
          <w:rFonts w:asciiTheme="majorHAnsi" w:hAnsiTheme="majorHAnsi"/>
          <w:sz w:val="18"/>
          <w:szCs w:val="18"/>
        </w:rPr>
        <w:t>,</w:t>
      </w:r>
      <w:r w:rsidR="004C4254">
        <w:rPr>
          <w:rFonts w:asciiTheme="majorHAnsi" w:hAnsiTheme="majorHAnsi"/>
          <w:sz w:val="18"/>
          <w:szCs w:val="18"/>
        </w:rPr>
        <w:t xml:space="preserve"> </w:t>
      </w:r>
    </w:p>
    <w:p w14:paraId="0BA12F7C" w14:textId="77777777" w:rsidR="000D6982" w:rsidRPr="00041A28" w:rsidRDefault="000D6982" w:rsidP="000D6982">
      <w:pPr>
        <w:pStyle w:val="Paragraph"/>
        <w:tabs>
          <w:tab w:val="left" w:pos="2520"/>
        </w:tabs>
        <w:ind w:firstLine="0"/>
        <w:jc w:val="both"/>
        <w:rPr>
          <w:rFonts w:asciiTheme="majorHAnsi" w:hAnsiTheme="majorHAnsi"/>
          <w:b/>
          <w:bCs/>
          <w:sz w:val="18"/>
          <w:szCs w:val="18"/>
        </w:rPr>
      </w:pPr>
    </w:p>
    <w:p w14:paraId="41A7595A" w14:textId="6674770F" w:rsidR="000D6982" w:rsidRPr="00041A28" w:rsidRDefault="000D6982" w:rsidP="000D6982">
      <w:pPr>
        <w:pStyle w:val="Paragraph"/>
        <w:tabs>
          <w:tab w:val="left" w:pos="2520"/>
        </w:tabs>
        <w:ind w:firstLine="0"/>
        <w:jc w:val="both"/>
        <w:rPr>
          <w:rFonts w:asciiTheme="majorHAnsi" w:hAnsiTheme="majorHAnsi"/>
          <w:bCs/>
          <w:sz w:val="18"/>
          <w:szCs w:val="18"/>
        </w:rPr>
      </w:pPr>
      <w:r w:rsidRPr="00041A28">
        <w:rPr>
          <w:rFonts w:asciiTheme="majorHAnsi" w:hAnsiTheme="majorHAnsi"/>
          <w:b/>
          <w:bCs/>
          <w:sz w:val="18"/>
          <w:szCs w:val="18"/>
        </w:rPr>
        <w:t>Desired presentation:</w:t>
      </w:r>
      <w:r w:rsidRPr="00041A28">
        <w:rPr>
          <w:rFonts w:asciiTheme="majorHAnsi" w:hAnsiTheme="majorHAnsi"/>
          <w:b/>
          <w:bCs/>
          <w:sz w:val="18"/>
          <w:szCs w:val="18"/>
        </w:rPr>
        <w:tab/>
      </w:r>
      <w:r w:rsidRPr="00041A28">
        <w:rPr>
          <w:rFonts w:asciiTheme="majorHAnsi" w:hAnsiTheme="majorHAnsi"/>
          <w:bCs/>
          <w:sz w:val="18"/>
          <w:szCs w:val="18"/>
        </w:rPr>
        <w:t>Poster</w:t>
      </w:r>
      <w:r w:rsidRPr="00041A28">
        <w:rPr>
          <w:rFonts w:asciiTheme="majorHAnsi" w:hAnsiTheme="majorHAnsi"/>
          <w:bCs/>
          <w:sz w:val="18"/>
          <w:szCs w:val="18"/>
        </w:rPr>
        <w:tab/>
      </w:r>
    </w:p>
    <w:p w14:paraId="4C1B991A" w14:textId="77777777" w:rsidR="000D6982" w:rsidRPr="00041A28" w:rsidRDefault="000D6982" w:rsidP="000D6982">
      <w:pPr>
        <w:pStyle w:val="Paragraph"/>
        <w:tabs>
          <w:tab w:val="left" w:pos="2520"/>
        </w:tabs>
        <w:ind w:firstLine="0"/>
        <w:jc w:val="both"/>
        <w:rPr>
          <w:rFonts w:asciiTheme="majorHAnsi" w:hAnsiTheme="majorHAnsi"/>
          <w:bCs/>
          <w:sz w:val="18"/>
          <w:szCs w:val="18"/>
        </w:rPr>
      </w:pPr>
    </w:p>
    <w:p w14:paraId="59CD5841" w14:textId="1B7F14B7"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Topic                         :</w:t>
      </w:r>
      <w:r w:rsidRPr="00041A28">
        <w:rPr>
          <w:rFonts w:asciiTheme="majorHAnsi" w:hAnsiTheme="majorHAnsi"/>
          <w:b/>
          <w:bCs/>
          <w:sz w:val="18"/>
          <w:szCs w:val="18"/>
        </w:rPr>
        <w:tab/>
      </w:r>
      <w:r w:rsidR="00F0569E">
        <w:rPr>
          <w:rFonts w:asciiTheme="majorHAnsi" w:hAnsiTheme="majorHAnsi"/>
          <w:sz w:val="18"/>
          <w:szCs w:val="18"/>
        </w:rPr>
        <w:t>Track 1</w:t>
      </w:r>
      <w:r w:rsidR="00B148AD">
        <w:rPr>
          <w:rFonts w:asciiTheme="majorHAnsi" w:hAnsiTheme="majorHAnsi"/>
          <w:sz w:val="18"/>
          <w:szCs w:val="18"/>
        </w:rPr>
        <w:t>2</w:t>
      </w:r>
      <w:r w:rsidR="00F0569E">
        <w:rPr>
          <w:rFonts w:asciiTheme="majorHAnsi" w:hAnsiTheme="majorHAnsi"/>
          <w:sz w:val="18"/>
          <w:szCs w:val="18"/>
        </w:rPr>
        <w:t>: Wound</w:t>
      </w:r>
      <w:r w:rsidR="00B148AD">
        <w:rPr>
          <w:rFonts w:asciiTheme="majorHAnsi" w:hAnsiTheme="majorHAnsi"/>
          <w:sz w:val="18"/>
          <w:szCs w:val="18"/>
        </w:rPr>
        <w:t>, Ostomy, and</w:t>
      </w:r>
      <w:r w:rsidR="00376225">
        <w:rPr>
          <w:rFonts w:asciiTheme="majorHAnsi" w:hAnsiTheme="majorHAnsi"/>
          <w:sz w:val="18"/>
          <w:szCs w:val="18"/>
        </w:rPr>
        <w:t xml:space="preserve"> Continence</w:t>
      </w:r>
      <w:bookmarkStart w:id="0" w:name="_GoBack"/>
      <w:bookmarkEnd w:id="0"/>
      <w:r w:rsidR="00F0569E">
        <w:rPr>
          <w:rFonts w:asciiTheme="majorHAnsi" w:hAnsiTheme="majorHAnsi"/>
          <w:sz w:val="18"/>
          <w:szCs w:val="18"/>
        </w:rPr>
        <w:t xml:space="preserve"> Nursing</w:t>
      </w:r>
    </w:p>
    <w:p w14:paraId="35BF9F57" w14:textId="77777777" w:rsidR="000D6982" w:rsidRPr="00041A28" w:rsidRDefault="000D6982" w:rsidP="000D6982">
      <w:pPr>
        <w:pStyle w:val="Paragraph"/>
        <w:tabs>
          <w:tab w:val="left" w:pos="2520"/>
        </w:tabs>
        <w:ind w:firstLine="0"/>
        <w:jc w:val="both"/>
        <w:rPr>
          <w:rFonts w:asciiTheme="majorHAnsi" w:hAnsiTheme="majorHAnsi"/>
          <w:sz w:val="18"/>
          <w:szCs w:val="18"/>
        </w:rPr>
      </w:pPr>
    </w:p>
    <w:p w14:paraId="13508B66" w14:textId="6EE16A81"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b/>
          <w:bCs/>
          <w:sz w:val="18"/>
          <w:szCs w:val="18"/>
        </w:rPr>
        <w:t>Corresponding Author Details:</w:t>
      </w:r>
      <w:r w:rsidRPr="00041A28">
        <w:rPr>
          <w:rFonts w:asciiTheme="majorHAnsi" w:hAnsiTheme="majorHAnsi"/>
          <w:sz w:val="18"/>
          <w:szCs w:val="18"/>
        </w:rPr>
        <w:tab/>
      </w:r>
      <w:r w:rsidR="008A2A18">
        <w:rPr>
          <w:rFonts w:asciiTheme="majorHAnsi" w:hAnsiTheme="majorHAnsi"/>
          <w:sz w:val="18"/>
          <w:szCs w:val="18"/>
        </w:rPr>
        <w:t>Anthony Poloyapoy</w:t>
      </w:r>
    </w:p>
    <w:p w14:paraId="140083C7" w14:textId="5CC20746"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8A2A18">
        <w:rPr>
          <w:rFonts w:asciiTheme="majorHAnsi" w:hAnsiTheme="majorHAnsi"/>
          <w:sz w:val="18"/>
          <w:szCs w:val="18"/>
        </w:rPr>
        <w:t>Ajpoloyapoy@gmail.com</w:t>
      </w:r>
    </w:p>
    <w:p w14:paraId="72CC13D9" w14:textId="13329D51" w:rsidR="000D6982" w:rsidRPr="00041A28" w:rsidRDefault="000D6982" w:rsidP="000D6982">
      <w:pPr>
        <w:pStyle w:val="Paragraph"/>
        <w:tabs>
          <w:tab w:val="left" w:pos="2520"/>
        </w:tabs>
        <w:ind w:firstLine="0"/>
        <w:jc w:val="both"/>
        <w:rPr>
          <w:rFonts w:asciiTheme="majorHAnsi" w:hAnsiTheme="majorHAnsi"/>
          <w:sz w:val="18"/>
          <w:szCs w:val="18"/>
          <w:lang w:val="en-GB"/>
        </w:rPr>
      </w:pPr>
      <w:r w:rsidRPr="00041A28">
        <w:rPr>
          <w:rFonts w:asciiTheme="majorHAnsi" w:hAnsiTheme="majorHAnsi"/>
          <w:sz w:val="18"/>
          <w:szCs w:val="18"/>
        </w:rPr>
        <w:tab/>
        <w:t xml:space="preserve">         </w:t>
      </w:r>
      <w:r w:rsidR="008A2A18">
        <w:rPr>
          <w:rFonts w:asciiTheme="majorHAnsi" w:hAnsiTheme="majorHAnsi"/>
          <w:sz w:val="18"/>
          <w:szCs w:val="18"/>
        </w:rPr>
        <w:t>Thomas Edison State University</w:t>
      </w:r>
      <w:r w:rsidRPr="00041A28">
        <w:rPr>
          <w:rFonts w:asciiTheme="majorHAnsi" w:hAnsiTheme="majorHAnsi"/>
          <w:sz w:val="18"/>
          <w:szCs w:val="18"/>
        </w:rPr>
        <w:t xml:space="preserve"> </w:t>
      </w:r>
    </w:p>
    <w:p w14:paraId="1A2272A1" w14:textId="6A795D02" w:rsidR="000D6982" w:rsidRPr="00041A28" w:rsidRDefault="000D6982" w:rsidP="000D6982">
      <w:pPr>
        <w:pStyle w:val="Paragraph"/>
        <w:tabs>
          <w:tab w:val="left" w:pos="2520"/>
        </w:tabs>
        <w:ind w:firstLine="0"/>
        <w:jc w:val="both"/>
        <w:rPr>
          <w:rFonts w:asciiTheme="majorHAnsi" w:hAnsiTheme="majorHAnsi"/>
          <w:sz w:val="18"/>
          <w:szCs w:val="18"/>
        </w:rPr>
      </w:pPr>
      <w:r w:rsidRPr="00041A28">
        <w:rPr>
          <w:rFonts w:asciiTheme="majorHAnsi" w:hAnsiTheme="majorHAnsi"/>
          <w:sz w:val="18"/>
          <w:szCs w:val="18"/>
        </w:rPr>
        <w:tab/>
        <w:t xml:space="preserve">         </w:t>
      </w:r>
      <w:r w:rsidR="008A2A18">
        <w:rPr>
          <w:rFonts w:asciiTheme="majorHAnsi" w:hAnsiTheme="majorHAnsi"/>
          <w:sz w:val="18"/>
          <w:szCs w:val="18"/>
        </w:rPr>
        <w:t>Trenton, NJ, USA</w:t>
      </w:r>
    </w:p>
    <w:p w14:paraId="748C4B30" w14:textId="4D7FE299" w:rsidR="00AE3E37" w:rsidRPr="00CA264B" w:rsidRDefault="000D6982" w:rsidP="00CA264B">
      <w:pPr>
        <w:pStyle w:val="Paragraph"/>
        <w:tabs>
          <w:tab w:val="left" w:pos="2520"/>
        </w:tabs>
        <w:ind w:firstLine="0"/>
        <w:jc w:val="both"/>
        <w:rPr>
          <w:rFonts w:asciiTheme="majorHAnsi" w:hAnsiTheme="majorHAnsi"/>
          <w:sz w:val="18"/>
          <w:szCs w:val="18"/>
        </w:rPr>
        <w:sectPr w:rsidR="00AE3E37" w:rsidRPr="00CA264B">
          <w:type w:val="continuous"/>
          <w:pgSz w:w="11910" w:h="16840"/>
          <w:pgMar w:top="1740" w:right="600" w:bottom="840" w:left="620" w:header="720" w:footer="720" w:gutter="0"/>
          <w:cols w:space="720"/>
        </w:sectPr>
      </w:pPr>
      <w:r w:rsidRPr="00041A28">
        <w:rPr>
          <w:rFonts w:asciiTheme="majorHAnsi" w:hAnsiTheme="majorHAnsi"/>
          <w:sz w:val="18"/>
          <w:szCs w:val="18"/>
        </w:rPr>
        <w:tab/>
        <w:t xml:space="preserve">         </w:t>
      </w:r>
      <w:r w:rsidR="008A2A18">
        <w:rPr>
          <w:rFonts w:asciiTheme="majorHAnsi" w:hAnsiTheme="majorHAnsi"/>
          <w:sz w:val="18"/>
          <w:szCs w:val="18"/>
        </w:rPr>
        <w:t>(551)333-9118</w:t>
      </w:r>
    </w:p>
    <w:p w14:paraId="452D5B83" w14:textId="77777777" w:rsidR="00AE3E37" w:rsidRPr="000D6982" w:rsidRDefault="00AE3E37">
      <w:pPr>
        <w:pStyle w:val="BodyText"/>
        <w:spacing w:before="3"/>
        <w:rPr>
          <w:rFonts w:asciiTheme="majorHAnsi" w:hAnsiTheme="majorHAnsi"/>
          <w:sz w:val="26"/>
        </w:rPr>
      </w:pPr>
    </w:p>
    <w:sectPr w:rsidR="00AE3E37" w:rsidRPr="000D69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751D43" w14:textId="77777777" w:rsidR="0023171F" w:rsidRDefault="0023171F">
      <w:r>
        <w:separator/>
      </w:r>
    </w:p>
  </w:endnote>
  <w:endnote w:type="continuationSeparator" w:id="0">
    <w:p w14:paraId="0E8A41FE" w14:textId="77777777" w:rsidR="0023171F" w:rsidRDefault="00231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0FCF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1831C27" wp14:editId="4DDC02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EDF0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FE71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831C2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313EDF0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FE71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C636D07" wp14:editId="5D5A6C2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F53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4D16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36D0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4D4F53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4D161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0F2E582" wp14:editId="315B9CE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7D2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935B8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2E58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5737D28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3935B8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2928F" w14:textId="77777777" w:rsidR="0023171F" w:rsidRDefault="0023171F">
      <w:r>
        <w:separator/>
      </w:r>
    </w:p>
  </w:footnote>
  <w:footnote w:type="continuationSeparator" w:id="0">
    <w:p w14:paraId="2BD31E7F" w14:textId="77777777" w:rsidR="0023171F" w:rsidRDefault="00231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C99E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84829F4" wp14:editId="637E539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FC46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829F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229FC46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05A0C3F" wp14:editId="1994837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2AFC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73E31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A0C3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07A2AFC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73E31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228F"/>
    <w:rsid w:val="0001496C"/>
    <w:rsid w:val="0001752B"/>
    <w:rsid w:val="00041A28"/>
    <w:rsid w:val="000A195E"/>
    <w:rsid w:val="000C56F8"/>
    <w:rsid w:val="000D6982"/>
    <w:rsid w:val="000E2911"/>
    <w:rsid w:val="001263DF"/>
    <w:rsid w:val="001475A6"/>
    <w:rsid w:val="001D0BDF"/>
    <w:rsid w:val="0023171F"/>
    <w:rsid w:val="00235F8C"/>
    <w:rsid w:val="00280117"/>
    <w:rsid w:val="00292ED9"/>
    <w:rsid w:val="00326F4F"/>
    <w:rsid w:val="00376225"/>
    <w:rsid w:val="00392546"/>
    <w:rsid w:val="00393B42"/>
    <w:rsid w:val="003B4007"/>
    <w:rsid w:val="003E6081"/>
    <w:rsid w:val="00404E5B"/>
    <w:rsid w:val="00414F7B"/>
    <w:rsid w:val="00430110"/>
    <w:rsid w:val="004355DC"/>
    <w:rsid w:val="00451F46"/>
    <w:rsid w:val="004749B4"/>
    <w:rsid w:val="00480DA9"/>
    <w:rsid w:val="00494130"/>
    <w:rsid w:val="004C4254"/>
    <w:rsid w:val="004F3523"/>
    <w:rsid w:val="005973B9"/>
    <w:rsid w:val="005B3A56"/>
    <w:rsid w:val="005C2EEF"/>
    <w:rsid w:val="005D1AD4"/>
    <w:rsid w:val="005D422C"/>
    <w:rsid w:val="005E65C3"/>
    <w:rsid w:val="006060CE"/>
    <w:rsid w:val="006065E2"/>
    <w:rsid w:val="0063497F"/>
    <w:rsid w:val="00642659"/>
    <w:rsid w:val="0073114B"/>
    <w:rsid w:val="007A5F2C"/>
    <w:rsid w:val="007B3243"/>
    <w:rsid w:val="007C0ECE"/>
    <w:rsid w:val="00873DF0"/>
    <w:rsid w:val="008756E6"/>
    <w:rsid w:val="008A2A18"/>
    <w:rsid w:val="008D4432"/>
    <w:rsid w:val="009634C7"/>
    <w:rsid w:val="009A3078"/>
    <w:rsid w:val="009B2D44"/>
    <w:rsid w:val="009F5FF8"/>
    <w:rsid w:val="00A07E82"/>
    <w:rsid w:val="00A50C3C"/>
    <w:rsid w:val="00A9710C"/>
    <w:rsid w:val="00AC3E70"/>
    <w:rsid w:val="00AE3E37"/>
    <w:rsid w:val="00B148AD"/>
    <w:rsid w:val="00B21A57"/>
    <w:rsid w:val="00B573FD"/>
    <w:rsid w:val="00C33602"/>
    <w:rsid w:val="00CA264B"/>
    <w:rsid w:val="00CB2A9A"/>
    <w:rsid w:val="00CD6F55"/>
    <w:rsid w:val="00D237B0"/>
    <w:rsid w:val="00D339E5"/>
    <w:rsid w:val="00D36899"/>
    <w:rsid w:val="00DA7D42"/>
    <w:rsid w:val="00DD1A18"/>
    <w:rsid w:val="00DE3104"/>
    <w:rsid w:val="00E64C92"/>
    <w:rsid w:val="00ED3D5D"/>
    <w:rsid w:val="00F0569E"/>
    <w:rsid w:val="00F252A2"/>
    <w:rsid w:val="00F466A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3031D"/>
  <w15:docId w15:val="{19F6FE5F-E743-2943-A0B5-5FE346AB1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ragraph">
    <w:name w:val="Paragraph"/>
    <w:basedOn w:val="Normal"/>
    <w:rsid w:val="000D6982"/>
    <w:pPr>
      <w:widowControl/>
      <w:ind w:firstLine="360"/>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CB2A9A"/>
    <w:rPr>
      <w:color w:val="605E5C"/>
      <w:shd w:val="clear" w:color="auto" w:fill="E1DFDD"/>
    </w:rPr>
  </w:style>
  <w:style w:type="character" w:styleId="CommentReference">
    <w:name w:val="annotation reference"/>
    <w:basedOn w:val="DefaultParagraphFont"/>
    <w:uiPriority w:val="99"/>
    <w:semiHidden/>
    <w:unhideWhenUsed/>
    <w:rsid w:val="00235F8C"/>
    <w:rPr>
      <w:sz w:val="16"/>
      <w:szCs w:val="16"/>
    </w:rPr>
  </w:style>
  <w:style w:type="paragraph" w:styleId="CommentText">
    <w:name w:val="annotation text"/>
    <w:basedOn w:val="Normal"/>
    <w:link w:val="CommentTextChar"/>
    <w:uiPriority w:val="99"/>
    <w:semiHidden/>
    <w:unhideWhenUsed/>
    <w:rsid w:val="00235F8C"/>
    <w:pPr>
      <w:widowControl/>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235F8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1749-771X.2011.01110.x" TargetMode="External"/><Relationship Id="rId5" Type="http://schemas.openxmlformats.org/officeDocument/2006/relationships/footnotes" Target="footnotes.xml"/><Relationship Id="rId10" Type="http://schemas.openxmlformats.org/officeDocument/2006/relationships/hyperlink" Target="https://doi.org/10.4037/ajcc2011754" TargetMode="External"/><Relationship Id="rId4" Type="http://schemas.openxmlformats.org/officeDocument/2006/relationships/webSettings" Target="webSettings.xml"/><Relationship Id="rId9" Type="http://schemas.openxmlformats.org/officeDocument/2006/relationships/hyperlink" Target="https://doi.org/10.1097/WON.0000000000000337"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Anthony Poloyapoy</cp:lastModifiedBy>
  <cp:revision>5</cp:revision>
  <dcterms:created xsi:type="dcterms:W3CDTF">2020-03-28T21:01:00Z</dcterms:created>
  <dcterms:modified xsi:type="dcterms:W3CDTF">2020-03-28T21:03:00Z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