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rsidR="002E1DD6" w:rsidRDefault="002E1DD6" w:rsidP="002E1DD6">
      <w:pPr>
        <w:autoSpaceDE w:val="0"/>
        <w:autoSpaceDN w:val="0"/>
        <w:adjustRightInd w:val="0"/>
        <w:spacing w:line="360" w:lineRule="auto"/>
        <w:jc w:val="both"/>
        <w:rPr>
          <w:rFonts w:asciiTheme="majorHAnsi" w:hAnsiTheme="majorHAnsi"/>
          <w:b/>
          <w:sz w:val="18"/>
          <w:szCs w:val="18"/>
          <w:lang w:val="en-IN" w:eastAsia="en-IN"/>
        </w:rPr>
      </w:pPr>
    </w:p>
    <w:p w:rsidR="002E1DD6" w:rsidRPr="002E1DD6" w:rsidRDefault="002E1DD6" w:rsidP="002E1DD6">
      <w:pPr>
        <w:autoSpaceDE w:val="0"/>
        <w:autoSpaceDN w:val="0"/>
        <w:adjustRightInd w:val="0"/>
        <w:spacing w:line="360" w:lineRule="auto"/>
        <w:jc w:val="both"/>
        <w:rPr>
          <w:rFonts w:asciiTheme="majorHAnsi" w:hAnsiTheme="majorHAnsi"/>
          <w:b/>
          <w:sz w:val="20"/>
          <w:szCs w:val="18"/>
          <w:lang w:val="en-IN" w:eastAsia="en-IN"/>
        </w:rPr>
      </w:pPr>
      <w:r w:rsidRPr="002E1DD6">
        <w:rPr>
          <w:rFonts w:asciiTheme="majorHAnsi" w:hAnsiTheme="majorHAnsi"/>
          <w:b/>
          <w:sz w:val="20"/>
          <w:szCs w:val="18"/>
          <w:lang w:val="en-IN" w:eastAsia="en-IN"/>
        </w:rPr>
        <w:t xml:space="preserve">Molecular </w:t>
      </w:r>
      <w:r>
        <w:rPr>
          <w:rFonts w:asciiTheme="majorHAnsi" w:hAnsiTheme="majorHAnsi"/>
          <w:b/>
          <w:sz w:val="20"/>
          <w:szCs w:val="18"/>
          <w:lang w:val="en-IN" w:eastAsia="en-IN"/>
        </w:rPr>
        <w:t xml:space="preserve">and cellular </w:t>
      </w:r>
      <w:r w:rsidRPr="002E1DD6">
        <w:rPr>
          <w:rFonts w:asciiTheme="majorHAnsi" w:hAnsiTheme="majorHAnsi"/>
          <w:b/>
          <w:sz w:val="20"/>
          <w:szCs w:val="18"/>
          <w:lang w:val="en-IN" w:eastAsia="en-IN"/>
        </w:rPr>
        <w:t xml:space="preserve">basis of wound healing activity of </w:t>
      </w:r>
      <w:r w:rsidRPr="002E1DD6">
        <w:rPr>
          <w:rFonts w:asciiTheme="majorHAnsi" w:hAnsiTheme="majorHAnsi"/>
          <w:b/>
          <w:i/>
          <w:sz w:val="20"/>
          <w:szCs w:val="18"/>
          <w:lang w:val="en-IN" w:eastAsia="en-IN"/>
        </w:rPr>
        <w:t>Parkia javanica</w:t>
      </w:r>
      <w:r w:rsidRPr="002E1DD6">
        <w:rPr>
          <w:rFonts w:asciiTheme="majorHAnsi" w:hAnsiTheme="majorHAnsi"/>
          <w:b/>
          <w:sz w:val="20"/>
          <w:szCs w:val="18"/>
          <w:lang w:val="en-IN" w:eastAsia="en-IN"/>
        </w:rPr>
        <w:t xml:space="preserve"> (Lamk.) Merr.: </w:t>
      </w:r>
      <w:r w:rsidRPr="002E1DD6">
        <w:rPr>
          <w:rFonts w:asciiTheme="majorHAnsi" w:hAnsiTheme="majorHAnsi"/>
          <w:b/>
          <w:i/>
          <w:sz w:val="20"/>
          <w:szCs w:val="18"/>
          <w:lang w:val="en-IN" w:eastAsia="en-IN"/>
        </w:rPr>
        <w:t>in vitro</w:t>
      </w:r>
      <w:r>
        <w:rPr>
          <w:rFonts w:asciiTheme="majorHAnsi" w:hAnsiTheme="majorHAnsi"/>
          <w:b/>
          <w:sz w:val="20"/>
          <w:szCs w:val="18"/>
          <w:lang w:val="en-IN" w:eastAsia="en-IN"/>
        </w:rPr>
        <w:t xml:space="preserve"> and </w:t>
      </w:r>
      <w:r w:rsidRPr="002E1DD6">
        <w:rPr>
          <w:rFonts w:asciiTheme="majorHAnsi" w:hAnsiTheme="majorHAnsi"/>
          <w:b/>
          <w:i/>
          <w:sz w:val="20"/>
          <w:szCs w:val="18"/>
          <w:lang w:val="en-IN" w:eastAsia="en-IN"/>
        </w:rPr>
        <w:t>in vivo</w:t>
      </w:r>
      <w:r>
        <w:rPr>
          <w:rFonts w:asciiTheme="majorHAnsi" w:hAnsiTheme="majorHAnsi"/>
          <w:b/>
          <w:sz w:val="20"/>
          <w:szCs w:val="18"/>
          <w:lang w:val="en-IN" w:eastAsia="en-IN"/>
        </w:rPr>
        <w:t xml:space="preserve"> studies.</w:t>
      </w:r>
    </w:p>
    <w:p w:rsidR="002E1DD6" w:rsidRPr="002E1DD6" w:rsidRDefault="002E1DD6" w:rsidP="002E1DD6">
      <w:pPr>
        <w:pStyle w:val="NoSpacing"/>
        <w:spacing w:line="360" w:lineRule="auto"/>
        <w:rPr>
          <w:rFonts w:asciiTheme="majorHAnsi" w:hAnsiTheme="majorHAnsi" w:cs="Times New Roman"/>
          <w:sz w:val="18"/>
          <w:szCs w:val="18"/>
        </w:rPr>
      </w:pPr>
      <w:r w:rsidRPr="002E1DD6">
        <w:rPr>
          <w:rFonts w:asciiTheme="majorHAnsi" w:hAnsiTheme="majorHAnsi" w:cs="Times New Roman"/>
          <w:sz w:val="18"/>
          <w:szCs w:val="18"/>
        </w:rPr>
        <w:t>Susmita Saha</w:t>
      </w:r>
      <w:r w:rsidRPr="002E1DD6">
        <w:rPr>
          <w:rFonts w:asciiTheme="majorHAnsi" w:hAnsiTheme="majorHAnsi" w:cs="Times New Roman"/>
          <w:sz w:val="18"/>
          <w:szCs w:val="18"/>
          <w:vertAlign w:val="superscript"/>
        </w:rPr>
        <w:t>1</w:t>
      </w:r>
      <w:r w:rsidRPr="002E1DD6">
        <w:rPr>
          <w:rFonts w:asciiTheme="majorHAnsi" w:hAnsiTheme="majorHAnsi" w:cs="Times New Roman"/>
          <w:sz w:val="18"/>
          <w:szCs w:val="18"/>
        </w:rPr>
        <w:t>, Manikarna Dinda</w:t>
      </w:r>
      <w:r w:rsidRPr="002E1DD6">
        <w:rPr>
          <w:rFonts w:asciiTheme="majorHAnsi" w:hAnsiTheme="majorHAnsi" w:cs="Times New Roman"/>
          <w:sz w:val="18"/>
          <w:szCs w:val="18"/>
          <w:vertAlign w:val="superscript"/>
        </w:rPr>
        <w:t>2</w:t>
      </w:r>
      <w:r w:rsidRPr="002E1DD6">
        <w:rPr>
          <w:rFonts w:asciiTheme="majorHAnsi" w:hAnsiTheme="majorHAnsi" w:cs="Times New Roman"/>
          <w:sz w:val="18"/>
          <w:szCs w:val="18"/>
        </w:rPr>
        <w:t>, Parimal karmakar</w:t>
      </w:r>
      <w:r w:rsidRPr="002E1DD6">
        <w:rPr>
          <w:rFonts w:asciiTheme="majorHAnsi" w:hAnsiTheme="majorHAnsi" w:cs="Times New Roman"/>
          <w:sz w:val="18"/>
          <w:szCs w:val="18"/>
          <w:vertAlign w:val="superscript"/>
        </w:rPr>
        <w:t>2</w:t>
      </w:r>
      <w:r w:rsidRPr="002E1DD6">
        <w:rPr>
          <w:rFonts w:asciiTheme="majorHAnsi" w:hAnsiTheme="majorHAnsi" w:cs="Times New Roman"/>
          <w:sz w:val="18"/>
          <w:szCs w:val="18"/>
        </w:rPr>
        <w:t>,</w:t>
      </w:r>
      <w:r w:rsidRPr="002E1DD6">
        <w:rPr>
          <w:rFonts w:asciiTheme="majorHAnsi" w:hAnsiTheme="majorHAnsi" w:cs="Times New Roman"/>
          <w:sz w:val="18"/>
          <w:szCs w:val="18"/>
          <w:vertAlign w:val="superscript"/>
        </w:rPr>
        <w:t xml:space="preserve"> </w:t>
      </w:r>
      <w:r w:rsidRPr="002E1DD6">
        <w:rPr>
          <w:rFonts w:asciiTheme="majorHAnsi" w:hAnsiTheme="majorHAnsi" w:cs="Times New Roman"/>
          <w:sz w:val="18"/>
          <w:szCs w:val="18"/>
        </w:rPr>
        <w:t>Kuladip Jana</w:t>
      </w:r>
      <w:r w:rsidRPr="002E1DD6">
        <w:rPr>
          <w:rFonts w:asciiTheme="majorHAnsi" w:hAnsiTheme="majorHAnsi" w:cs="Times New Roman"/>
          <w:sz w:val="18"/>
          <w:szCs w:val="18"/>
          <w:vertAlign w:val="superscript"/>
        </w:rPr>
        <w:t>3</w:t>
      </w:r>
      <w:r w:rsidRPr="002E1DD6">
        <w:rPr>
          <w:rFonts w:asciiTheme="majorHAnsi" w:hAnsiTheme="majorHAnsi" w:cs="Times New Roman"/>
          <w:sz w:val="18"/>
          <w:szCs w:val="18"/>
        </w:rPr>
        <w:t xml:space="preserve"> and Samir Kumar Sil</w:t>
      </w:r>
      <w:r w:rsidRPr="002E1DD6">
        <w:rPr>
          <w:rFonts w:asciiTheme="majorHAnsi" w:hAnsiTheme="majorHAnsi" w:cs="Times New Roman"/>
          <w:sz w:val="18"/>
          <w:szCs w:val="18"/>
          <w:vertAlign w:val="superscript"/>
        </w:rPr>
        <w:t>1*</w:t>
      </w:r>
      <w:r w:rsidRPr="002E1DD6">
        <w:rPr>
          <w:rFonts w:asciiTheme="majorHAnsi" w:hAnsiTheme="majorHAnsi" w:cs="Times New Roman"/>
          <w:sz w:val="18"/>
          <w:szCs w:val="18"/>
        </w:rPr>
        <w:t xml:space="preserve"> </w:t>
      </w:r>
    </w:p>
    <w:p w:rsidR="002E1DD6" w:rsidRPr="002E1DD6" w:rsidRDefault="002E1DD6" w:rsidP="002E1DD6">
      <w:pPr>
        <w:pStyle w:val="NoSpacing"/>
        <w:spacing w:line="360" w:lineRule="auto"/>
        <w:jc w:val="both"/>
        <w:rPr>
          <w:rFonts w:asciiTheme="majorHAnsi" w:hAnsiTheme="majorHAnsi" w:cs="Times New Roman"/>
          <w:sz w:val="18"/>
          <w:szCs w:val="18"/>
        </w:rPr>
      </w:pPr>
      <w:r w:rsidRPr="002E1DD6">
        <w:rPr>
          <w:rFonts w:asciiTheme="majorHAnsi" w:hAnsiTheme="majorHAnsi" w:cs="Times New Roman"/>
          <w:sz w:val="18"/>
          <w:szCs w:val="18"/>
          <w:vertAlign w:val="superscript"/>
        </w:rPr>
        <w:t>1</w:t>
      </w:r>
      <w:r w:rsidRPr="002E1DD6">
        <w:rPr>
          <w:rFonts w:asciiTheme="majorHAnsi" w:hAnsiTheme="majorHAnsi" w:cs="Times New Roman"/>
          <w:sz w:val="18"/>
          <w:szCs w:val="18"/>
        </w:rPr>
        <w:t>Molecular Genetics and Cell Physiology Lab, Department of Human Physiology, Tripura University, Suryamaninagar, Tripura-799022, India.</w:t>
      </w:r>
    </w:p>
    <w:p w:rsidR="002E1DD6" w:rsidRPr="002E1DD6" w:rsidRDefault="002E1DD6" w:rsidP="002E1DD6">
      <w:pPr>
        <w:pStyle w:val="NoSpacing"/>
        <w:spacing w:line="360" w:lineRule="auto"/>
        <w:jc w:val="both"/>
        <w:rPr>
          <w:rFonts w:asciiTheme="majorHAnsi" w:hAnsiTheme="majorHAnsi" w:cs="Times New Roman"/>
          <w:color w:val="222222"/>
          <w:sz w:val="18"/>
          <w:szCs w:val="18"/>
          <w:shd w:val="clear" w:color="auto" w:fill="FFFFFF"/>
        </w:rPr>
      </w:pPr>
      <w:r w:rsidRPr="002E1DD6">
        <w:rPr>
          <w:rFonts w:asciiTheme="majorHAnsi" w:hAnsiTheme="majorHAnsi" w:cs="Times New Roman"/>
          <w:sz w:val="18"/>
          <w:szCs w:val="18"/>
          <w:vertAlign w:val="superscript"/>
        </w:rPr>
        <w:t>2</w:t>
      </w:r>
      <w:r w:rsidRPr="002E1DD6">
        <w:rPr>
          <w:rFonts w:asciiTheme="majorHAnsi" w:hAnsiTheme="majorHAnsi" w:cs="Times New Roman"/>
          <w:sz w:val="18"/>
          <w:szCs w:val="18"/>
        </w:rPr>
        <w:t xml:space="preserve">Department of Life Science and Biotechnology, Jadavpur University, </w:t>
      </w:r>
      <w:r w:rsidRPr="002E1DD6">
        <w:rPr>
          <w:rFonts w:asciiTheme="majorHAnsi" w:hAnsiTheme="majorHAnsi" w:cs="Times New Roman"/>
          <w:color w:val="222222"/>
          <w:sz w:val="18"/>
          <w:szCs w:val="18"/>
          <w:shd w:val="clear" w:color="auto" w:fill="FFFFFF"/>
        </w:rPr>
        <w:t>188, Raja S. C. Mallick Road, Kolkata, West Bengal-700032, India.</w:t>
      </w:r>
    </w:p>
    <w:p w:rsidR="002E1DD6" w:rsidRPr="002E1DD6" w:rsidRDefault="002E1DD6" w:rsidP="002E1DD6">
      <w:pPr>
        <w:pStyle w:val="NoSpacing"/>
        <w:spacing w:line="360" w:lineRule="auto"/>
        <w:jc w:val="both"/>
        <w:rPr>
          <w:rFonts w:asciiTheme="majorHAnsi" w:hAnsiTheme="majorHAnsi" w:cs="Times New Roman"/>
          <w:sz w:val="18"/>
          <w:szCs w:val="18"/>
          <w:lang w:eastAsia="en-IN"/>
        </w:rPr>
      </w:pPr>
      <w:r w:rsidRPr="002E1DD6">
        <w:rPr>
          <w:rFonts w:asciiTheme="majorHAnsi" w:hAnsiTheme="majorHAnsi" w:cs="Times New Roman"/>
          <w:sz w:val="18"/>
          <w:szCs w:val="18"/>
          <w:vertAlign w:val="superscript"/>
          <w:lang w:eastAsia="en-IN"/>
        </w:rPr>
        <w:t>3</w:t>
      </w:r>
      <w:r w:rsidRPr="002E1DD6">
        <w:rPr>
          <w:rFonts w:asciiTheme="majorHAnsi" w:hAnsiTheme="majorHAnsi" w:cs="Times New Roman"/>
          <w:sz w:val="18"/>
          <w:szCs w:val="18"/>
          <w:lang w:eastAsia="en-IN"/>
        </w:rPr>
        <w:t xml:space="preserve">Division of Molecular Medicine, Bose Institute, P 1/12, CIT Scheme VIIM, Kolkata 700 054, India. </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rsidR="00AE3E37" w:rsidRPr="00CB1BF4" w:rsidRDefault="00A9710C">
      <w:pPr>
        <w:pStyle w:val="Heading3"/>
        <w:spacing w:before="147"/>
        <w:jc w:val="both"/>
        <w:rPr>
          <w:rFonts w:asciiTheme="majorHAnsi" w:hAnsiTheme="majorHAnsi"/>
          <w:sz w:val="18"/>
          <w:szCs w:val="18"/>
        </w:rPr>
      </w:pPr>
      <w:r w:rsidRPr="00CB1BF4">
        <w:rPr>
          <w:rFonts w:asciiTheme="majorHAnsi" w:hAnsiTheme="majorHAnsi"/>
          <w:color w:val="BF5A14"/>
          <w:sz w:val="18"/>
          <w:szCs w:val="18"/>
        </w:rPr>
        <w:lastRenderedPageBreak/>
        <w:t>Abstract</w:t>
      </w:r>
      <w:r w:rsidR="00404E5B" w:rsidRPr="00CB1BF4">
        <w:rPr>
          <w:rFonts w:asciiTheme="majorHAnsi" w:hAnsiTheme="majorHAnsi"/>
          <w:color w:val="BF5A14"/>
          <w:sz w:val="18"/>
          <w:szCs w:val="18"/>
        </w:rPr>
        <w:t xml:space="preserve"> (300 word limit)</w:t>
      </w:r>
    </w:p>
    <w:p w:rsidR="00CB1BF4" w:rsidRPr="00CB1BF4" w:rsidRDefault="00CB1BF4" w:rsidP="00CB1BF4">
      <w:pPr>
        <w:autoSpaceDE w:val="0"/>
        <w:autoSpaceDN w:val="0"/>
        <w:adjustRightInd w:val="0"/>
        <w:spacing w:line="360" w:lineRule="auto"/>
        <w:jc w:val="both"/>
        <w:rPr>
          <w:sz w:val="18"/>
          <w:szCs w:val="18"/>
        </w:rPr>
      </w:pPr>
      <w:r w:rsidRPr="00CB1BF4">
        <w:rPr>
          <w:rFonts w:asciiTheme="majorHAnsi" w:hAnsiTheme="majorHAnsi"/>
          <w:color w:val="FF0000"/>
          <w:sz w:val="18"/>
          <w:szCs w:val="18"/>
        </w:rPr>
        <w:t>Statement of the Problem</w:t>
      </w:r>
      <w:r w:rsidRPr="00CB1BF4">
        <w:rPr>
          <w:rFonts w:asciiTheme="majorHAnsi" w:hAnsiTheme="majorHAnsi"/>
          <w:sz w:val="18"/>
          <w:szCs w:val="18"/>
        </w:rPr>
        <w:t>:</w:t>
      </w:r>
      <w:r>
        <w:rPr>
          <w:sz w:val="18"/>
          <w:szCs w:val="18"/>
        </w:rPr>
        <w:t xml:space="preserve"> </w:t>
      </w:r>
      <w:r w:rsidRPr="00CB1BF4">
        <w:rPr>
          <w:rFonts w:asciiTheme="majorHAnsi" w:hAnsiTheme="majorHAnsi"/>
          <w:i/>
          <w:sz w:val="18"/>
          <w:szCs w:val="18"/>
        </w:rPr>
        <w:t>Parkia javanica</w:t>
      </w:r>
      <w:r w:rsidRPr="00CB1BF4">
        <w:rPr>
          <w:rFonts w:asciiTheme="majorHAnsi" w:hAnsiTheme="majorHAnsi"/>
          <w:sz w:val="18"/>
          <w:szCs w:val="18"/>
        </w:rPr>
        <w:t>, of leguminece family, has age an old ethnomedicinal history, is widely available in North-Eastern part of India. This plant</w:t>
      </w:r>
      <w:r w:rsidRPr="00CB1BF4">
        <w:rPr>
          <w:rFonts w:asciiTheme="majorHAnsi" w:hAnsiTheme="majorHAnsi"/>
          <w:sz w:val="18"/>
          <w:szCs w:val="18"/>
          <w:vertAlign w:val="superscript"/>
        </w:rPr>
        <w:t xml:space="preserve"> </w:t>
      </w:r>
      <w:r w:rsidRPr="00CB1BF4">
        <w:rPr>
          <w:rFonts w:asciiTheme="majorHAnsi" w:hAnsiTheme="majorHAnsi"/>
          <w:sz w:val="18"/>
          <w:szCs w:val="18"/>
        </w:rPr>
        <w:t>is traditionally used by tribal people of this region to cure various ailments including cutaneous wound.</w:t>
      </w:r>
      <w:r w:rsidRPr="00CB1BF4">
        <w:rPr>
          <w:rFonts w:asciiTheme="majorHAnsi" w:hAnsiTheme="majorHAnsi"/>
          <w:sz w:val="18"/>
          <w:szCs w:val="18"/>
          <w:lang w:val="en-IN" w:eastAsia="en-IN"/>
        </w:rPr>
        <w:t xml:space="preserve"> But there is no scientific documentation regarding its wound healing activity. Therefore, the wound healing potentiality of said plant was investigated along with probable mode of action. </w:t>
      </w:r>
    </w:p>
    <w:p w:rsidR="00CB1BF4" w:rsidRPr="00CB1BF4" w:rsidRDefault="00CB1BF4" w:rsidP="00CB1BF4">
      <w:pPr>
        <w:autoSpaceDE w:val="0"/>
        <w:autoSpaceDN w:val="0"/>
        <w:adjustRightInd w:val="0"/>
        <w:spacing w:line="360" w:lineRule="auto"/>
        <w:jc w:val="both"/>
        <w:rPr>
          <w:rFonts w:asciiTheme="majorHAnsi" w:hAnsiTheme="majorHAnsi"/>
          <w:sz w:val="18"/>
          <w:szCs w:val="18"/>
          <w:lang w:val="en-IN" w:eastAsia="en-IN"/>
        </w:rPr>
      </w:pPr>
      <w:r w:rsidRPr="00CB1BF4">
        <w:rPr>
          <w:rFonts w:asciiTheme="majorHAnsi" w:hAnsiTheme="majorHAnsi"/>
          <w:color w:val="FF0000"/>
          <w:sz w:val="18"/>
          <w:szCs w:val="18"/>
        </w:rPr>
        <w:t>Methodology &amp; Theoretical Orientation</w:t>
      </w:r>
      <w:r w:rsidRPr="00CB1BF4">
        <w:rPr>
          <w:rFonts w:asciiTheme="majorHAnsi" w:hAnsiTheme="majorHAnsi"/>
          <w:sz w:val="18"/>
          <w:szCs w:val="18"/>
        </w:rPr>
        <w:t>:</w:t>
      </w:r>
      <w:r>
        <w:rPr>
          <w:rFonts w:asciiTheme="majorHAnsi" w:hAnsiTheme="majorHAnsi"/>
          <w:sz w:val="18"/>
          <w:szCs w:val="18"/>
          <w:lang w:val="en-IN" w:eastAsia="en-IN"/>
        </w:rPr>
        <w:t xml:space="preserve"> </w:t>
      </w:r>
      <w:r w:rsidRPr="00CB1BF4">
        <w:rPr>
          <w:rFonts w:asciiTheme="majorHAnsi" w:hAnsiTheme="majorHAnsi"/>
          <w:sz w:val="18"/>
          <w:szCs w:val="18"/>
          <w:lang w:val="en-IN" w:eastAsia="en-IN"/>
        </w:rPr>
        <w:t xml:space="preserve">Methanolic extract of stem bark (MEPJ) was used in the experimental studies. In </w:t>
      </w:r>
      <w:r w:rsidRPr="00CB1BF4">
        <w:rPr>
          <w:rFonts w:asciiTheme="majorHAnsi" w:hAnsiTheme="majorHAnsi"/>
          <w:i/>
          <w:sz w:val="18"/>
          <w:szCs w:val="18"/>
          <w:lang w:val="en-IN" w:eastAsia="en-IN"/>
        </w:rPr>
        <w:t>in vitro</w:t>
      </w:r>
      <w:r w:rsidRPr="00CB1BF4">
        <w:rPr>
          <w:rFonts w:asciiTheme="majorHAnsi" w:hAnsiTheme="majorHAnsi"/>
          <w:sz w:val="18"/>
          <w:szCs w:val="18"/>
          <w:lang w:val="en-IN" w:eastAsia="en-IN"/>
        </w:rPr>
        <w:t xml:space="preserve"> studies cell viability and wound closure were determined by MTT assay and scratch assay respectively. Real time PCR and western blot analysis were performed to evaluate the expression of cytokines and proteins related to wound healing process. Finally </w:t>
      </w:r>
      <w:r w:rsidRPr="00CB1BF4">
        <w:rPr>
          <w:rFonts w:asciiTheme="majorHAnsi" w:hAnsiTheme="majorHAnsi"/>
          <w:i/>
          <w:sz w:val="18"/>
          <w:szCs w:val="18"/>
          <w:lang w:val="en-IN" w:eastAsia="en-IN"/>
        </w:rPr>
        <w:t>in vivo</w:t>
      </w:r>
      <w:r w:rsidRPr="00CB1BF4">
        <w:rPr>
          <w:rFonts w:asciiTheme="majorHAnsi" w:hAnsiTheme="majorHAnsi"/>
          <w:sz w:val="18"/>
          <w:szCs w:val="18"/>
          <w:lang w:val="en-IN" w:eastAsia="en-IN"/>
        </w:rPr>
        <w:t xml:space="preserve"> wound closure was performed in mouse model in presence of extract material.  </w:t>
      </w:r>
    </w:p>
    <w:p w:rsidR="00CB1BF4" w:rsidRPr="00CB1BF4" w:rsidRDefault="00CB1BF4" w:rsidP="00CB1BF4">
      <w:pPr>
        <w:autoSpaceDE w:val="0"/>
        <w:autoSpaceDN w:val="0"/>
        <w:adjustRightInd w:val="0"/>
        <w:spacing w:line="360" w:lineRule="auto"/>
        <w:jc w:val="both"/>
        <w:rPr>
          <w:rFonts w:asciiTheme="majorHAnsi" w:hAnsiTheme="majorHAnsi"/>
          <w:sz w:val="18"/>
          <w:szCs w:val="18"/>
          <w:lang w:val="en-IN" w:eastAsia="en-IN"/>
        </w:rPr>
      </w:pPr>
      <w:r w:rsidRPr="00CB1BF4">
        <w:rPr>
          <w:rFonts w:asciiTheme="majorHAnsi" w:hAnsiTheme="majorHAnsi"/>
          <w:color w:val="FF0000"/>
          <w:sz w:val="18"/>
          <w:szCs w:val="18"/>
        </w:rPr>
        <w:t>Findings:</w:t>
      </w:r>
      <w:r>
        <w:rPr>
          <w:rFonts w:asciiTheme="majorHAnsi" w:hAnsiTheme="majorHAnsi"/>
          <w:sz w:val="18"/>
          <w:szCs w:val="18"/>
          <w:lang w:val="en-IN" w:eastAsia="en-IN"/>
        </w:rPr>
        <w:t xml:space="preserve"> </w:t>
      </w:r>
      <w:r w:rsidRPr="00CB1BF4">
        <w:rPr>
          <w:rFonts w:asciiTheme="majorHAnsi" w:hAnsiTheme="majorHAnsi"/>
          <w:sz w:val="18"/>
          <w:szCs w:val="18"/>
          <w:lang w:val="en-IN" w:eastAsia="en-IN"/>
        </w:rPr>
        <w:t xml:space="preserve">MEPJ stimulated proliferation and migration of both fibroblasts and keratinocytes significantly and 20µg/ml was found to be the optimal dose in both the cell lines. The response was maximum at 48h. Significant increase in phosphorylation of FAK (Tyr 397) and Akt (Ser 473) were detected. The increased expression of p65 NF-κB, collagen I and pro-inflammatory cytokines </w:t>
      </w:r>
      <w:r w:rsidRPr="00CB1BF4">
        <w:rPr>
          <w:rFonts w:asciiTheme="majorHAnsi" w:hAnsiTheme="majorHAnsi"/>
          <w:i/>
          <w:sz w:val="18"/>
          <w:szCs w:val="18"/>
          <w:lang w:val="en-IN" w:eastAsia="en-IN"/>
        </w:rPr>
        <w:t>viz.</w:t>
      </w:r>
      <w:r w:rsidRPr="00CB1BF4">
        <w:rPr>
          <w:rFonts w:asciiTheme="majorHAnsi" w:hAnsiTheme="majorHAnsi"/>
          <w:sz w:val="18"/>
          <w:szCs w:val="18"/>
          <w:lang w:val="en-IN" w:eastAsia="en-IN"/>
        </w:rPr>
        <w:t xml:space="preserve"> IL-1β, IL-6, IL-8 was also observed. In case of </w:t>
      </w:r>
      <w:r w:rsidRPr="00CB1BF4">
        <w:rPr>
          <w:rFonts w:asciiTheme="majorHAnsi" w:hAnsiTheme="majorHAnsi"/>
          <w:i/>
          <w:sz w:val="18"/>
          <w:szCs w:val="18"/>
          <w:lang w:val="en-IN" w:eastAsia="en-IN"/>
        </w:rPr>
        <w:t>in vivo</w:t>
      </w:r>
      <w:r w:rsidRPr="00CB1BF4">
        <w:rPr>
          <w:rFonts w:asciiTheme="majorHAnsi" w:hAnsiTheme="majorHAnsi"/>
          <w:sz w:val="18"/>
          <w:szCs w:val="18"/>
          <w:lang w:val="en-IN" w:eastAsia="en-IN"/>
        </w:rPr>
        <w:t xml:space="preserve"> study, MEPJ was topically applied on excisional wounds of Swiss albino mice and the treated group of mice showed faster wound healing compared to placebo control group.  HPLC-QTOF-MS data revealed the presence of 7 major compounds, with known wound healing, anticancer and antioxidative properties. </w:t>
      </w:r>
    </w:p>
    <w:p w:rsidR="00CB1BF4" w:rsidRPr="00CB1BF4" w:rsidRDefault="00CB1BF4" w:rsidP="00CB1BF4">
      <w:pPr>
        <w:autoSpaceDE w:val="0"/>
        <w:autoSpaceDN w:val="0"/>
        <w:adjustRightInd w:val="0"/>
        <w:spacing w:line="360" w:lineRule="auto"/>
        <w:jc w:val="both"/>
        <w:rPr>
          <w:rFonts w:asciiTheme="majorHAnsi" w:hAnsiTheme="majorHAnsi"/>
          <w:sz w:val="18"/>
          <w:szCs w:val="18"/>
          <w:lang w:val="en-IN" w:eastAsia="en-IN"/>
        </w:rPr>
      </w:pPr>
      <w:r w:rsidRPr="00CB1BF4">
        <w:rPr>
          <w:rFonts w:asciiTheme="majorHAnsi" w:hAnsiTheme="majorHAnsi"/>
          <w:color w:val="FF0000"/>
          <w:sz w:val="18"/>
          <w:szCs w:val="18"/>
        </w:rPr>
        <w:t>Conclusion &amp; Significance</w:t>
      </w:r>
      <w:r>
        <w:rPr>
          <w:rFonts w:asciiTheme="majorHAnsi" w:hAnsiTheme="majorHAnsi"/>
          <w:sz w:val="18"/>
          <w:szCs w:val="18"/>
          <w:lang w:val="en-IN" w:eastAsia="en-IN"/>
        </w:rPr>
        <w:t xml:space="preserve"> </w:t>
      </w:r>
      <w:r w:rsidRPr="00CB1BF4">
        <w:rPr>
          <w:rFonts w:asciiTheme="majorHAnsi" w:hAnsiTheme="majorHAnsi"/>
          <w:sz w:val="18"/>
          <w:szCs w:val="18"/>
          <w:lang w:val="en-IN" w:eastAsia="en-IN"/>
        </w:rPr>
        <w:t xml:space="preserve">The results convincingly showed the wound healing property of </w:t>
      </w:r>
      <w:r w:rsidRPr="00CB1BF4">
        <w:rPr>
          <w:rFonts w:asciiTheme="majorHAnsi" w:hAnsiTheme="majorHAnsi"/>
          <w:i/>
          <w:sz w:val="18"/>
          <w:szCs w:val="18"/>
          <w:lang w:val="en-IN" w:eastAsia="en-IN"/>
        </w:rPr>
        <w:t>Parkia javanica</w:t>
      </w:r>
      <w:r w:rsidRPr="00CB1BF4">
        <w:rPr>
          <w:rFonts w:asciiTheme="majorHAnsi" w:hAnsiTheme="majorHAnsi"/>
          <w:sz w:val="18"/>
          <w:szCs w:val="18"/>
          <w:lang w:val="en-IN" w:eastAsia="en-IN"/>
        </w:rPr>
        <w:t xml:space="preserve">  and the study substantiated scientifically the age old ethnomedicinal use of this plant for the same. The mechanistic study indicated that the healing activity was, at least partly, be mediated via FAK/PI3K/Akt/NF-кB pathway. </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p>
    <w:p w:rsidR="00AE3E37" w:rsidRPr="000D6982" w:rsidRDefault="00AE3E37">
      <w:pPr>
        <w:pStyle w:val="BodyText"/>
        <w:spacing w:before="2"/>
        <w:rPr>
          <w:rFonts w:asciiTheme="majorHAnsi" w:hAnsiTheme="majorHAnsi"/>
          <w:b/>
          <w:sz w:val="16"/>
        </w:rPr>
      </w:pP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BA4A7A" w:rsidRPr="00BA4A7A" w:rsidRDefault="00BA4A7A" w:rsidP="00BA4A7A">
      <w:pPr>
        <w:widowControl/>
        <w:numPr>
          <w:ilvl w:val="0"/>
          <w:numId w:val="3"/>
        </w:numPr>
        <w:pBdr>
          <w:bottom w:val="dotted" w:sz="6" w:space="4" w:color="2F8693"/>
        </w:pBdr>
        <w:spacing w:before="60" w:after="60"/>
        <w:ind w:right="60"/>
        <w:jc w:val="both"/>
        <w:rPr>
          <w:rFonts w:asciiTheme="majorHAnsi" w:hAnsiTheme="majorHAnsi" w:cs="Times New Roman"/>
          <w:color w:val="272727"/>
          <w:sz w:val="18"/>
          <w:szCs w:val="18"/>
        </w:rPr>
      </w:pPr>
      <w:hyperlink r:id="rId9" w:history="1">
        <w:r w:rsidRPr="00BA4A7A">
          <w:rPr>
            <w:rFonts w:asciiTheme="majorHAnsi" w:hAnsiTheme="majorHAnsi" w:cs="Times New Roman"/>
            <w:sz w:val="18"/>
            <w:szCs w:val="18"/>
          </w:rPr>
          <w:t>Sengupta S</w:t>
        </w:r>
      </w:hyperlink>
      <w:r w:rsidRPr="00BA4A7A">
        <w:rPr>
          <w:rFonts w:asciiTheme="majorHAnsi" w:hAnsiTheme="majorHAnsi" w:cs="Times New Roman"/>
          <w:sz w:val="18"/>
          <w:szCs w:val="18"/>
        </w:rPr>
        <w:t>, </w:t>
      </w:r>
      <w:hyperlink r:id="rId10" w:history="1">
        <w:r w:rsidRPr="00BA4A7A">
          <w:rPr>
            <w:rFonts w:asciiTheme="majorHAnsi" w:hAnsiTheme="majorHAnsi" w:cs="Times New Roman"/>
            <w:sz w:val="18"/>
            <w:szCs w:val="18"/>
          </w:rPr>
          <w:t>Zhivotovsky LA</w:t>
        </w:r>
      </w:hyperlink>
      <w:r w:rsidRPr="00BA4A7A">
        <w:rPr>
          <w:rFonts w:asciiTheme="majorHAnsi" w:hAnsiTheme="majorHAnsi" w:cs="Times New Roman"/>
          <w:sz w:val="18"/>
          <w:szCs w:val="18"/>
        </w:rPr>
        <w:t>, </w:t>
      </w:r>
      <w:hyperlink r:id="rId11" w:history="1">
        <w:r w:rsidRPr="00BA4A7A">
          <w:rPr>
            <w:rFonts w:asciiTheme="majorHAnsi" w:hAnsiTheme="majorHAnsi" w:cs="Times New Roman"/>
            <w:sz w:val="18"/>
            <w:szCs w:val="18"/>
          </w:rPr>
          <w:t>King R</w:t>
        </w:r>
      </w:hyperlink>
      <w:r w:rsidRPr="00BA4A7A">
        <w:rPr>
          <w:rFonts w:asciiTheme="majorHAnsi" w:hAnsiTheme="majorHAnsi" w:cs="Times New Roman"/>
          <w:sz w:val="18"/>
          <w:szCs w:val="18"/>
        </w:rPr>
        <w:t>, </w:t>
      </w:r>
      <w:hyperlink r:id="rId12" w:history="1">
        <w:r w:rsidRPr="00BA4A7A">
          <w:rPr>
            <w:rFonts w:asciiTheme="majorHAnsi" w:hAnsiTheme="majorHAnsi" w:cs="Times New Roman"/>
            <w:sz w:val="18"/>
            <w:szCs w:val="18"/>
          </w:rPr>
          <w:t>Mehdi SQ</w:t>
        </w:r>
      </w:hyperlink>
      <w:r w:rsidRPr="00BA4A7A">
        <w:rPr>
          <w:rFonts w:asciiTheme="majorHAnsi" w:hAnsiTheme="majorHAnsi" w:cs="Times New Roman"/>
          <w:sz w:val="18"/>
          <w:szCs w:val="18"/>
        </w:rPr>
        <w:t>, </w:t>
      </w:r>
      <w:hyperlink r:id="rId13" w:history="1">
        <w:r w:rsidRPr="00BA4A7A">
          <w:rPr>
            <w:rFonts w:asciiTheme="majorHAnsi" w:hAnsiTheme="majorHAnsi" w:cs="Times New Roman"/>
            <w:sz w:val="18"/>
            <w:szCs w:val="18"/>
          </w:rPr>
          <w:t>Edmonds CA</w:t>
        </w:r>
      </w:hyperlink>
      <w:r w:rsidRPr="00BA4A7A">
        <w:rPr>
          <w:rFonts w:asciiTheme="majorHAnsi" w:hAnsiTheme="majorHAnsi" w:cs="Times New Roman"/>
          <w:sz w:val="18"/>
          <w:szCs w:val="18"/>
        </w:rPr>
        <w:t>, </w:t>
      </w:r>
      <w:hyperlink r:id="rId14" w:history="1">
        <w:r w:rsidRPr="00BA4A7A">
          <w:rPr>
            <w:rFonts w:asciiTheme="majorHAnsi" w:hAnsiTheme="majorHAnsi" w:cs="Times New Roman"/>
            <w:sz w:val="18"/>
            <w:szCs w:val="18"/>
          </w:rPr>
          <w:t>Chow CE</w:t>
        </w:r>
      </w:hyperlink>
      <w:r w:rsidRPr="00BA4A7A">
        <w:rPr>
          <w:rFonts w:asciiTheme="majorHAnsi" w:hAnsiTheme="majorHAnsi" w:cs="Times New Roman"/>
          <w:sz w:val="18"/>
          <w:szCs w:val="18"/>
        </w:rPr>
        <w:t>, </w:t>
      </w:r>
      <w:hyperlink r:id="rId15" w:history="1">
        <w:r w:rsidRPr="00BA4A7A">
          <w:rPr>
            <w:rFonts w:asciiTheme="majorHAnsi" w:hAnsiTheme="majorHAnsi" w:cs="Times New Roman"/>
            <w:sz w:val="18"/>
            <w:szCs w:val="18"/>
          </w:rPr>
          <w:t>Lin AA</w:t>
        </w:r>
      </w:hyperlink>
      <w:r w:rsidRPr="00BA4A7A">
        <w:rPr>
          <w:rFonts w:asciiTheme="majorHAnsi" w:hAnsiTheme="majorHAnsi" w:cs="Times New Roman"/>
          <w:sz w:val="18"/>
          <w:szCs w:val="18"/>
        </w:rPr>
        <w:t>, </w:t>
      </w:r>
      <w:hyperlink r:id="rId16" w:history="1">
        <w:r w:rsidRPr="00BA4A7A">
          <w:rPr>
            <w:rFonts w:asciiTheme="majorHAnsi" w:hAnsiTheme="majorHAnsi" w:cs="Times New Roman"/>
            <w:sz w:val="18"/>
            <w:szCs w:val="18"/>
          </w:rPr>
          <w:t>Mitra M</w:t>
        </w:r>
      </w:hyperlink>
      <w:r w:rsidRPr="00BA4A7A">
        <w:rPr>
          <w:rFonts w:asciiTheme="majorHAnsi" w:hAnsiTheme="majorHAnsi" w:cs="Times New Roman"/>
          <w:sz w:val="18"/>
          <w:szCs w:val="18"/>
        </w:rPr>
        <w:t>, </w:t>
      </w:r>
      <w:hyperlink r:id="rId17" w:history="1">
        <w:r w:rsidRPr="00BA4A7A">
          <w:rPr>
            <w:rFonts w:asciiTheme="majorHAnsi" w:hAnsiTheme="majorHAnsi" w:cs="Times New Roman"/>
            <w:b/>
            <w:sz w:val="18"/>
            <w:szCs w:val="18"/>
          </w:rPr>
          <w:t>Sil SK</w:t>
        </w:r>
      </w:hyperlink>
      <w:r w:rsidRPr="00BA4A7A">
        <w:rPr>
          <w:rFonts w:asciiTheme="majorHAnsi" w:hAnsiTheme="majorHAnsi" w:cs="Times New Roman"/>
          <w:sz w:val="18"/>
          <w:szCs w:val="18"/>
        </w:rPr>
        <w:t>, </w:t>
      </w:r>
      <w:hyperlink r:id="rId18" w:history="1">
        <w:r w:rsidRPr="00BA4A7A">
          <w:rPr>
            <w:rFonts w:asciiTheme="majorHAnsi" w:hAnsiTheme="majorHAnsi" w:cs="Times New Roman"/>
            <w:sz w:val="18"/>
            <w:szCs w:val="18"/>
          </w:rPr>
          <w:t>Ramesh A</w:t>
        </w:r>
      </w:hyperlink>
      <w:r w:rsidRPr="00BA4A7A">
        <w:rPr>
          <w:rFonts w:asciiTheme="majorHAnsi" w:hAnsiTheme="majorHAnsi" w:cs="Times New Roman"/>
          <w:sz w:val="18"/>
          <w:szCs w:val="18"/>
        </w:rPr>
        <w:t>, </w:t>
      </w:r>
      <w:hyperlink r:id="rId19" w:history="1">
        <w:r w:rsidRPr="00BA4A7A">
          <w:rPr>
            <w:rFonts w:asciiTheme="majorHAnsi" w:hAnsiTheme="majorHAnsi" w:cs="Times New Roman"/>
            <w:sz w:val="18"/>
            <w:szCs w:val="18"/>
          </w:rPr>
          <w:t>Usha Rani MV</w:t>
        </w:r>
      </w:hyperlink>
      <w:r w:rsidRPr="00BA4A7A">
        <w:rPr>
          <w:rFonts w:asciiTheme="majorHAnsi" w:hAnsiTheme="majorHAnsi" w:cs="Times New Roman"/>
          <w:sz w:val="18"/>
          <w:szCs w:val="18"/>
        </w:rPr>
        <w:t>, </w:t>
      </w:r>
      <w:hyperlink r:id="rId20" w:history="1">
        <w:r w:rsidRPr="00BA4A7A">
          <w:rPr>
            <w:rFonts w:asciiTheme="majorHAnsi" w:hAnsiTheme="majorHAnsi" w:cs="Times New Roman"/>
            <w:sz w:val="18"/>
            <w:szCs w:val="18"/>
          </w:rPr>
          <w:t>Thakur CM</w:t>
        </w:r>
      </w:hyperlink>
      <w:r w:rsidRPr="00BA4A7A">
        <w:rPr>
          <w:rFonts w:asciiTheme="majorHAnsi" w:hAnsiTheme="majorHAnsi" w:cs="Times New Roman"/>
          <w:sz w:val="18"/>
          <w:szCs w:val="18"/>
        </w:rPr>
        <w:t>, </w:t>
      </w:r>
      <w:hyperlink r:id="rId21" w:history="1">
        <w:r w:rsidRPr="00BA4A7A">
          <w:rPr>
            <w:rFonts w:asciiTheme="majorHAnsi" w:hAnsiTheme="majorHAnsi" w:cs="Times New Roman"/>
            <w:sz w:val="18"/>
            <w:szCs w:val="18"/>
          </w:rPr>
          <w:t>Cavalli-Sforza LL</w:t>
        </w:r>
      </w:hyperlink>
      <w:r w:rsidRPr="00BA4A7A">
        <w:rPr>
          <w:rFonts w:asciiTheme="majorHAnsi" w:hAnsiTheme="majorHAnsi" w:cs="Times New Roman"/>
          <w:sz w:val="18"/>
          <w:szCs w:val="18"/>
        </w:rPr>
        <w:t>, </w:t>
      </w:r>
      <w:hyperlink r:id="rId22" w:history="1">
        <w:r w:rsidRPr="00BA4A7A">
          <w:rPr>
            <w:rFonts w:asciiTheme="majorHAnsi" w:hAnsiTheme="majorHAnsi" w:cs="Times New Roman"/>
            <w:sz w:val="18"/>
            <w:szCs w:val="18"/>
          </w:rPr>
          <w:t>Majumder PP</w:t>
        </w:r>
      </w:hyperlink>
      <w:r w:rsidRPr="00BA4A7A">
        <w:rPr>
          <w:rFonts w:asciiTheme="majorHAnsi" w:hAnsiTheme="majorHAnsi" w:cs="Times New Roman"/>
          <w:sz w:val="18"/>
          <w:szCs w:val="18"/>
        </w:rPr>
        <w:t>, </w:t>
      </w:r>
      <w:hyperlink r:id="rId23" w:history="1">
        <w:r w:rsidRPr="00BA4A7A">
          <w:rPr>
            <w:rFonts w:asciiTheme="majorHAnsi" w:hAnsiTheme="majorHAnsi" w:cs="Times New Roman"/>
            <w:sz w:val="18"/>
            <w:szCs w:val="18"/>
          </w:rPr>
          <w:t>Underhill PA</w:t>
        </w:r>
      </w:hyperlink>
      <w:r w:rsidRPr="00BA4A7A">
        <w:rPr>
          <w:rFonts w:asciiTheme="majorHAnsi" w:hAnsiTheme="majorHAnsi" w:cs="Times New Roman"/>
          <w:sz w:val="18"/>
          <w:szCs w:val="18"/>
        </w:rPr>
        <w:t xml:space="preserve"> (2006). </w:t>
      </w:r>
      <w:r w:rsidRPr="00BA4A7A">
        <w:rPr>
          <w:rFonts w:asciiTheme="majorHAnsi" w:hAnsiTheme="majorHAnsi" w:cs="Times New Roman"/>
          <w:bCs/>
          <w:color w:val="000000"/>
          <w:kern w:val="36"/>
          <w:sz w:val="18"/>
          <w:szCs w:val="18"/>
        </w:rPr>
        <w:t>Polarity and temporality of high-resolution y-chromosome distributions in India identify both indigenous and exogenous expansions and reveal minor genetic influence of Central Asian pastoralists.</w:t>
      </w:r>
      <w:r w:rsidRPr="00BA4A7A">
        <w:rPr>
          <w:rFonts w:asciiTheme="majorHAnsi" w:hAnsiTheme="majorHAnsi" w:cs="Times New Roman"/>
          <w:sz w:val="18"/>
          <w:szCs w:val="18"/>
        </w:rPr>
        <w:t xml:space="preserve"> </w:t>
      </w:r>
      <w:hyperlink r:id="rId24" w:tooltip="American journal of human genetics." w:history="1">
        <w:r w:rsidRPr="00BA4A7A">
          <w:rPr>
            <w:rStyle w:val="Hyperlink"/>
            <w:rFonts w:asciiTheme="majorHAnsi" w:hAnsiTheme="majorHAnsi" w:cs="Times New Roman"/>
            <w:b/>
            <w:color w:val="auto"/>
            <w:sz w:val="18"/>
            <w:szCs w:val="18"/>
            <w:shd w:val="clear" w:color="auto" w:fill="FFFFFF"/>
          </w:rPr>
          <w:t>Am J Hum Genet.</w:t>
        </w:r>
      </w:hyperlink>
      <w:r w:rsidRPr="00BA4A7A">
        <w:rPr>
          <w:rFonts w:asciiTheme="majorHAnsi" w:hAnsiTheme="majorHAnsi" w:cs="Times New Roman"/>
          <w:sz w:val="18"/>
          <w:szCs w:val="18"/>
          <w:shd w:val="clear" w:color="auto" w:fill="FFFFFF"/>
        </w:rPr>
        <w:t xml:space="preserve">  78(2):202-21. </w:t>
      </w:r>
    </w:p>
    <w:p w:rsidR="00BA4A7A" w:rsidRPr="00BA4A7A" w:rsidRDefault="00BA4A7A" w:rsidP="00BA4A7A">
      <w:pPr>
        <w:widowControl/>
        <w:numPr>
          <w:ilvl w:val="0"/>
          <w:numId w:val="3"/>
        </w:numPr>
        <w:pBdr>
          <w:bottom w:val="dotted" w:sz="6" w:space="4" w:color="2F8693"/>
        </w:pBdr>
        <w:spacing w:before="60" w:after="60"/>
        <w:ind w:right="60"/>
        <w:jc w:val="both"/>
        <w:rPr>
          <w:rFonts w:asciiTheme="majorHAnsi" w:hAnsiTheme="majorHAnsi"/>
          <w:sz w:val="18"/>
          <w:szCs w:val="18"/>
        </w:rPr>
      </w:pPr>
      <w:r w:rsidRPr="00BA4A7A">
        <w:rPr>
          <w:rFonts w:asciiTheme="majorHAnsi" w:hAnsiTheme="majorHAnsi"/>
          <w:sz w:val="18"/>
          <w:szCs w:val="18"/>
        </w:rPr>
        <w:t>Samir Kumar Sil, Rupanjali Saha, Biplab Ghosh, Bikash Mohanta and Biswanath Dinda (2007). Antibacterial and phytochemical evaluation of Evolvulus nummularius, Mimosa pudica and Oroxylum indicum from India. African J. Biomed. Res. Vol. 10: 83- 88.</w:t>
      </w:r>
    </w:p>
    <w:p w:rsidR="005973B9" w:rsidRPr="00BA4A7A" w:rsidRDefault="00BA4A7A" w:rsidP="00BA4A7A">
      <w:pPr>
        <w:widowControl/>
        <w:numPr>
          <w:ilvl w:val="0"/>
          <w:numId w:val="3"/>
        </w:numPr>
        <w:pBdr>
          <w:bottom w:val="dotted" w:sz="6" w:space="4" w:color="2F8693"/>
        </w:pBdr>
        <w:spacing w:before="60" w:after="60"/>
        <w:ind w:right="60"/>
        <w:jc w:val="both"/>
        <w:rPr>
          <w:rFonts w:asciiTheme="majorHAnsi" w:hAnsiTheme="majorHAnsi"/>
          <w:color w:val="272727"/>
          <w:sz w:val="18"/>
          <w:szCs w:val="18"/>
        </w:rPr>
      </w:pPr>
      <w:r w:rsidRPr="00BA4A7A">
        <w:rPr>
          <w:rFonts w:asciiTheme="majorHAnsi" w:hAnsiTheme="majorHAnsi"/>
          <w:color w:val="000000"/>
          <w:sz w:val="18"/>
          <w:szCs w:val="18"/>
        </w:rPr>
        <w:t>Priyanka Banerjee, Rajiv Kumar</w:t>
      </w:r>
      <w:r w:rsidRPr="00BA4A7A">
        <w:rPr>
          <w:rFonts w:asciiTheme="majorHAnsi" w:hAnsiTheme="majorHAnsi"/>
          <w:color w:val="272727"/>
          <w:sz w:val="18"/>
          <w:szCs w:val="18"/>
        </w:rPr>
        <w:t xml:space="preserve"> </w:t>
      </w:r>
      <w:r w:rsidRPr="00BA4A7A">
        <w:rPr>
          <w:rFonts w:asciiTheme="majorHAnsi" w:hAnsiTheme="majorHAnsi"/>
          <w:color w:val="000000"/>
          <w:sz w:val="18"/>
          <w:szCs w:val="18"/>
        </w:rPr>
        <w:t>Mondal, Madhuparna Nandi, Sumantra Ghosh, Nabendu Chakraborty, Swatilekha</w:t>
      </w:r>
      <w:r w:rsidRPr="00BA4A7A">
        <w:rPr>
          <w:rFonts w:asciiTheme="majorHAnsi" w:hAnsiTheme="majorHAnsi"/>
          <w:color w:val="272727"/>
          <w:sz w:val="18"/>
          <w:szCs w:val="18"/>
        </w:rPr>
        <w:t xml:space="preserve"> </w:t>
      </w:r>
      <w:r w:rsidRPr="00BA4A7A">
        <w:rPr>
          <w:rFonts w:asciiTheme="majorHAnsi" w:hAnsiTheme="majorHAnsi"/>
          <w:color w:val="000000"/>
          <w:sz w:val="18"/>
          <w:szCs w:val="18"/>
        </w:rPr>
        <w:t xml:space="preserve">Bhattacharya, Arindam RoyChoudhury, Soma Banerjee, Amal Santra, </w:t>
      </w:r>
      <w:r w:rsidRPr="00BA4A7A">
        <w:rPr>
          <w:rFonts w:asciiTheme="majorHAnsi" w:hAnsiTheme="majorHAnsi"/>
          <w:bCs/>
          <w:color w:val="000000"/>
          <w:sz w:val="18"/>
          <w:szCs w:val="18"/>
        </w:rPr>
        <w:t>Samir Sil</w:t>
      </w:r>
      <w:r w:rsidRPr="00BA4A7A">
        <w:rPr>
          <w:rFonts w:asciiTheme="majorHAnsi" w:hAnsiTheme="majorHAnsi"/>
          <w:color w:val="000000"/>
          <w:sz w:val="18"/>
          <w:szCs w:val="18"/>
        </w:rPr>
        <w:t>,</w:t>
      </w:r>
      <w:r w:rsidRPr="00BA4A7A">
        <w:rPr>
          <w:rFonts w:asciiTheme="majorHAnsi" w:hAnsiTheme="majorHAnsi"/>
          <w:color w:val="272727"/>
          <w:sz w:val="18"/>
          <w:szCs w:val="18"/>
        </w:rPr>
        <w:t xml:space="preserve"> </w:t>
      </w:r>
      <w:r w:rsidRPr="00BA4A7A">
        <w:rPr>
          <w:rFonts w:asciiTheme="majorHAnsi" w:hAnsiTheme="majorHAnsi"/>
          <w:color w:val="000000"/>
          <w:sz w:val="18"/>
          <w:szCs w:val="18"/>
        </w:rPr>
        <w:t xml:space="preserve">Abhijit Chowdhury, Pradip Bhaumik, Simanti Datta (20014). </w:t>
      </w:r>
      <w:r w:rsidRPr="00BA4A7A">
        <w:rPr>
          <w:rFonts w:asciiTheme="majorHAnsi" w:hAnsiTheme="majorHAnsi"/>
          <w:bCs/>
          <w:color w:val="000000"/>
          <w:sz w:val="18"/>
          <w:szCs w:val="18"/>
        </w:rPr>
        <w:t>A Rare HBV Subgenotype D4 with Unique Genomic Signatures</w:t>
      </w:r>
      <w:r w:rsidRPr="00BA4A7A">
        <w:rPr>
          <w:rFonts w:asciiTheme="majorHAnsi" w:hAnsiTheme="majorHAnsi"/>
          <w:b/>
          <w:bCs/>
          <w:color w:val="000000"/>
          <w:sz w:val="18"/>
          <w:szCs w:val="18"/>
        </w:rPr>
        <w:t xml:space="preserve"> </w:t>
      </w:r>
      <w:r w:rsidRPr="00BA4A7A">
        <w:rPr>
          <w:rFonts w:asciiTheme="majorHAnsi" w:hAnsiTheme="majorHAnsi"/>
          <w:color w:val="000000"/>
          <w:sz w:val="18"/>
          <w:szCs w:val="18"/>
        </w:rPr>
        <w:t>Identified in North-Eastern India –An Emerging Clinical Challenge?,</w:t>
      </w:r>
      <w:r w:rsidRPr="00BA4A7A">
        <w:rPr>
          <w:rFonts w:asciiTheme="majorHAnsi" w:hAnsiTheme="majorHAnsi"/>
          <w:color w:val="272727"/>
          <w:sz w:val="18"/>
          <w:szCs w:val="18"/>
        </w:rPr>
        <w:t xml:space="preserve"> </w:t>
      </w:r>
      <w:r w:rsidRPr="00BA4A7A">
        <w:rPr>
          <w:rFonts w:asciiTheme="majorHAnsi" w:hAnsiTheme="majorHAnsi"/>
          <w:bCs/>
          <w:color w:val="000000"/>
          <w:sz w:val="18"/>
          <w:szCs w:val="18"/>
        </w:rPr>
        <w:t xml:space="preserve">Plos One, </w:t>
      </w:r>
      <w:r w:rsidRPr="00BA4A7A">
        <w:rPr>
          <w:rFonts w:asciiTheme="majorHAnsi" w:hAnsiTheme="majorHAnsi"/>
          <w:color w:val="000000"/>
          <w:sz w:val="18"/>
          <w:szCs w:val="18"/>
        </w:rPr>
        <w:t>9(10).</w:t>
      </w:r>
    </w:p>
    <w:p w:rsidR="00BA4A7A" w:rsidRPr="00BA4A7A" w:rsidRDefault="00BA4A7A" w:rsidP="00BA4A7A">
      <w:pPr>
        <w:widowControl/>
        <w:numPr>
          <w:ilvl w:val="0"/>
          <w:numId w:val="3"/>
        </w:numPr>
        <w:pBdr>
          <w:bottom w:val="dotted" w:sz="6" w:space="4" w:color="2F8693"/>
        </w:pBdr>
        <w:spacing w:before="60" w:after="60"/>
        <w:ind w:right="60"/>
        <w:jc w:val="both"/>
        <w:rPr>
          <w:rFonts w:asciiTheme="majorHAnsi" w:hAnsiTheme="majorHAnsi"/>
          <w:sz w:val="18"/>
          <w:szCs w:val="18"/>
        </w:rPr>
      </w:pPr>
      <w:r w:rsidRPr="00BA4A7A">
        <w:rPr>
          <w:rFonts w:asciiTheme="majorHAnsi" w:hAnsiTheme="majorHAnsi" w:cs="Segoe UI"/>
          <w:sz w:val="18"/>
          <w:szCs w:val="18"/>
        </w:rPr>
        <w:t xml:space="preserve">Samir Kumar Sil, Susmita Saha, Parimal Karmakar </w:t>
      </w:r>
      <w:hyperlink r:id="rId25" w:history="1">
        <w:r w:rsidRPr="00BA4A7A">
          <w:rPr>
            <w:rStyle w:val="Hyperlink"/>
            <w:rFonts w:asciiTheme="majorHAnsi" w:hAnsiTheme="majorHAnsi" w:cs="Segoe UI"/>
            <w:color w:val="auto"/>
            <w:sz w:val="18"/>
            <w:szCs w:val="18"/>
            <w:u w:val="none"/>
          </w:rPr>
          <w:t>Reactive oxygen species as possible mediator of antibacterial activity of parkia javanica, against bacterial species predominantly found in chronic wound(2018).</w:t>
        </w:r>
      </w:hyperlink>
      <w:r w:rsidRPr="00BA4A7A">
        <w:rPr>
          <w:rFonts w:asciiTheme="majorHAnsi" w:hAnsiTheme="majorHAnsi" w:cs="Segoe UI"/>
          <w:caps/>
          <w:sz w:val="18"/>
          <w:szCs w:val="18"/>
        </w:rPr>
        <w:t xml:space="preserve"> J drug delvery and therapeutics research</w:t>
      </w:r>
      <w:r w:rsidRPr="00BA4A7A">
        <w:rPr>
          <w:rFonts w:asciiTheme="majorHAnsi" w:hAnsiTheme="majorHAnsi" w:cs="Segoe UI"/>
          <w:sz w:val="18"/>
          <w:szCs w:val="18"/>
        </w:rPr>
        <w:t xml:space="preserve"> Vol 8 No 1 (2018): VOLUME 8, ISSUE 1, Jan-Feb 2018</w:t>
      </w:r>
    </w:p>
    <w:p w:rsidR="00BA4A7A" w:rsidRPr="00BA4A7A" w:rsidRDefault="00BA4A7A" w:rsidP="00BA4A7A">
      <w:pPr>
        <w:widowControl/>
        <w:numPr>
          <w:ilvl w:val="0"/>
          <w:numId w:val="3"/>
        </w:numPr>
        <w:pBdr>
          <w:bottom w:val="dotted" w:sz="6" w:space="4" w:color="2F8693"/>
        </w:pBdr>
        <w:spacing w:before="60" w:after="60"/>
        <w:ind w:right="60"/>
        <w:jc w:val="both"/>
        <w:rPr>
          <w:rFonts w:asciiTheme="majorHAnsi" w:hAnsiTheme="majorHAnsi"/>
          <w:sz w:val="18"/>
          <w:szCs w:val="18"/>
        </w:rPr>
      </w:pPr>
      <w:r w:rsidRPr="00BA4A7A">
        <w:rPr>
          <w:rFonts w:asciiTheme="majorHAnsi" w:hAnsiTheme="majorHAnsi" w:cs="Segoe UI"/>
          <w:sz w:val="18"/>
          <w:szCs w:val="18"/>
        </w:rPr>
        <w:t xml:space="preserve">Basu Mullick, J., Reddy, K., Saha, S., Bashir, T., Hore, S., &amp; Sil, S. (2018). </w:t>
      </w:r>
      <w:r>
        <w:rPr>
          <w:rFonts w:asciiTheme="majorHAnsi" w:hAnsiTheme="majorHAnsi" w:cs="Segoe UI"/>
          <w:sz w:val="18"/>
          <w:szCs w:val="18"/>
        </w:rPr>
        <w:t>I</w:t>
      </w:r>
      <w:r w:rsidRPr="00BA4A7A">
        <w:rPr>
          <w:rFonts w:asciiTheme="majorHAnsi" w:hAnsiTheme="majorHAnsi" w:cs="Segoe UI"/>
          <w:sz w:val="18"/>
          <w:szCs w:val="18"/>
        </w:rPr>
        <w:t>n vitro toxicity studies on the extract of medicinal plant evolvulus nummularius as a potent microbicidal candidate. </w:t>
      </w:r>
      <w:r w:rsidRPr="00BA4A7A">
        <w:rPr>
          <w:rFonts w:asciiTheme="majorHAnsi" w:hAnsiTheme="majorHAnsi" w:cs="Segoe UI"/>
          <w:iCs/>
          <w:sz w:val="18"/>
          <w:szCs w:val="18"/>
        </w:rPr>
        <w:t>Journal of Drug Delivery and Therapeutics</w:t>
      </w:r>
      <w:r w:rsidRPr="00BA4A7A">
        <w:rPr>
          <w:rFonts w:asciiTheme="majorHAnsi" w:hAnsiTheme="majorHAnsi" w:cs="Segoe UI"/>
          <w:sz w:val="18"/>
          <w:szCs w:val="18"/>
        </w:rPr>
        <w:t>, </w:t>
      </w:r>
      <w:r w:rsidRPr="00BA4A7A">
        <w:rPr>
          <w:rFonts w:asciiTheme="majorHAnsi" w:hAnsiTheme="majorHAnsi" w:cs="Segoe UI"/>
          <w:i/>
          <w:iCs/>
          <w:sz w:val="18"/>
          <w:szCs w:val="18"/>
        </w:rPr>
        <w:t>8</w:t>
      </w:r>
      <w:r w:rsidRPr="00BA4A7A">
        <w:rPr>
          <w:rFonts w:asciiTheme="majorHAnsi" w:hAnsiTheme="majorHAnsi" w:cs="Segoe UI"/>
          <w:sz w:val="18"/>
          <w:szCs w:val="18"/>
        </w:rPr>
        <w:t>(4), 229-236. </w:t>
      </w:r>
    </w:p>
    <w:p w:rsidR="00BA4A7A" w:rsidRPr="00BA4A7A" w:rsidRDefault="00BA4A7A" w:rsidP="00BA4A7A">
      <w:pPr>
        <w:pStyle w:val="ListParagraph"/>
        <w:shd w:val="clear" w:color="auto" w:fill="FFFFFF"/>
        <w:spacing w:line="230" w:lineRule="atLeast"/>
        <w:ind w:firstLine="0"/>
        <w:rPr>
          <w:rFonts w:ascii="Segoe UI" w:hAnsi="Segoe UI" w:cs="Segoe UI"/>
          <w:sz w:val="16"/>
          <w:szCs w:val="16"/>
        </w:rPr>
      </w:pPr>
    </w:p>
    <w:p w:rsidR="00AE3E37" w:rsidRPr="000D6982" w:rsidRDefault="00AE3E37" w:rsidP="008756E6">
      <w:pPr>
        <w:tabs>
          <w:tab w:val="left" w:pos="384"/>
        </w:tabs>
        <w:ind w:right="117"/>
        <w:rPr>
          <w:rFonts w:asciiTheme="majorHAnsi" w:hAnsiTheme="majorHAnsi"/>
        </w:rPr>
      </w:pPr>
    </w:p>
    <w:p w:rsidR="00AE3E37" w:rsidRPr="000D6982" w:rsidRDefault="00AE3E37">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p>
    <w:p w:rsidR="00AE3E37" w:rsidRPr="000D6982" w:rsidRDefault="00AE3E37">
      <w:pPr>
        <w:pStyle w:val="BodyText"/>
        <w:rPr>
          <w:rFonts w:asciiTheme="majorHAnsi" w:hAnsiTheme="majorHAnsi"/>
          <w:sz w:val="20"/>
        </w:rPr>
      </w:pPr>
    </w:p>
    <w:p w:rsidR="00AE3E37" w:rsidRPr="000D6982" w:rsidRDefault="00004FC5">
      <w:pPr>
        <w:pStyle w:val="BodyText"/>
        <w:spacing w:line="40" w:lineRule="exact"/>
        <w:ind w:left="2202"/>
        <w:rPr>
          <w:rFonts w:asciiTheme="majorHAnsi" w:hAnsiTheme="majorHAnsi"/>
          <w:sz w:val="4"/>
        </w:rPr>
      </w:pPr>
      <w:r w:rsidRPr="00004FC5">
        <w:rPr>
          <w:rFonts w:asciiTheme="majorHAnsi" w:hAnsiTheme="majorHAnsi"/>
          <w:noProof/>
          <w:sz w:val="4"/>
          <w:lang w:val="en-IN" w:eastAsia="en-IN"/>
        </w:rPr>
      </w:r>
      <w:r w:rsidRPr="00004FC5">
        <w:rPr>
          <w:rFonts w:asciiTheme="majorHAnsi" w:hAnsiTheme="majorHAns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041A28" w:rsidRDefault="00B53DFF" w:rsidP="00404E5B">
      <w:pPr>
        <w:spacing w:before="92"/>
        <w:ind w:right="4234"/>
        <w:rPr>
          <w:rFonts w:asciiTheme="majorHAnsi" w:hAnsiTheme="majorHAnsi"/>
          <w:sz w:val="18"/>
          <w:szCs w:val="18"/>
        </w:rPr>
      </w:pPr>
      <w:r>
        <w:rPr>
          <w:rFonts w:asciiTheme="majorHAnsi" w:hAnsiTheme="majorHAnsi"/>
          <w:noProof/>
        </w:rPr>
        <w:drawing>
          <wp:inline distT="0" distB="0" distL="0" distR="0">
            <wp:extent cx="727100" cy="808244"/>
            <wp:effectExtent l="19050" t="0" r="0" b="0"/>
            <wp:docPr id="3" name="Picture 3" descr="C:\Users\DR. S. K. SIL\Desktop\samir passport ph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S. K. SIL\Desktop\samir passport photo2.jpg"/>
                    <pic:cNvPicPr>
                      <a:picLocks noChangeAspect="1" noChangeArrowheads="1"/>
                    </pic:cNvPicPr>
                  </pic:nvPicPr>
                  <pic:blipFill>
                    <a:blip r:embed="rId26" cstate="print"/>
                    <a:srcRect/>
                    <a:stretch>
                      <a:fillRect/>
                    </a:stretch>
                  </pic:blipFill>
                  <pic:spPr bwMode="auto">
                    <a:xfrm>
                      <a:off x="0" y="0"/>
                      <a:ext cx="727236" cy="808395"/>
                    </a:xfrm>
                    <a:prstGeom prst="rect">
                      <a:avLst/>
                    </a:prstGeom>
                    <a:noFill/>
                    <a:ln w="9525">
                      <a:noFill/>
                      <a:miter lim="800000"/>
                      <a:headEnd/>
                      <a:tailEnd/>
                    </a:ln>
                  </pic:spPr>
                </pic:pic>
              </a:graphicData>
            </a:graphic>
          </wp:inline>
        </w:drawing>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(150 word limit)</w:t>
      </w:r>
    </w:p>
    <w:p w:rsidR="008205DE" w:rsidRPr="00041A28" w:rsidRDefault="008205DE" w:rsidP="008205DE">
      <w:pPr>
        <w:spacing w:line="360" w:lineRule="auto"/>
        <w:jc w:val="both"/>
        <w:rPr>
          <w:rFonts w:asciiTheme="majorHAnsi" w:hAnsiTheme="majorHAnsi"/>
          <w:sz w:val="18"/>
          <w:szCs w:val="18"/>
        </w:rPr>
      </w:pPr>
      <w:r>
        <w:rPr>
          <w:rFonts w:asciiTheme="majorHAnsi" w:hAnsiTheme="majorHAnsi"/>
          <w:sz w:val="18"/>
          <w:szCs w:val="18"/>
        </w:rPr>
        <w:t>Prof. Samir Kumar Sil</w:t>
      </w:r>
      <w:r w:rsidRPr="00041A28">
        <w:rPr>
          <w:rFonts w:asciiTheme="majorHAnsi" w:hAnsiTheme="majorHAnsi"/>
          <w:sz w:val="18"/>
          <w:szCs w:val="18"/>
        </w:rPr>
        <w:t xml:space="preserve">  </w:t>
      </w:r>
      <w:r>
        <w:rPr>
          <w:rFonts w:asciiTheme="majorHAnsi" w:hAnsiTheme="majorHAnsi"/>
          <w:sz w:val="18"/>
          <w:szCs w:val="18"/>
        </w:rPr>
        <w:t xml:space="preserve">obtained his Post Graduate degree in Physiology from University of Calcutta with Biochemistry specialization . Later on he worked in the department of Human Genetics, ISI, Kolkata, for his Ph.D. degree on genomic and haematological analysis and obtained his Ph.D. degree </w:t>
      </w:r>
      <w:r w:rsidR="0091262C">
        <w:rPr>
          <w:rFonts w:asciiTheme="majorHAnsi" w:hAnsiTheme="majorHAnsi"/>
          <w:sz w:val="18"/>
          <w:szCs w:val="18"/>
        </w:rPr>
        <w:t xml:space="preserve">from </w:t>
      </w:r>
      <w:r>
        <w:rPr>
          <w:rFonts w:asciiTheme="majorHAnsi" w:hAnsiTheme="majorHAnsi"/>
          <w:sz w:val="18"/>
          <w:szCs w:val="18"/>
        </w:rPr>
        <w:t xml:space="preserve">University of Tripura. </w:t>
      </w:r>
      <w:r w:rsidRPr="00041A28">
        <w:rPr>
          <w:rFonts w:asciiTheme="majorHAnsi" w:hAnsiTheme="majorHAnsi"/>
          <w:sz w:val="18"/>
          <w:szCs w:val="18"/>
        </w:rPr>
        <w:t xml:space="preserve"> </w:t>
      </w:r>
      <w:r>
        <w:rPr>
          <w:rFonts w:asciiTheme="majorHAnsi" w:hAnsiTheme="majorHAnsi"/>
          <w:sz w:val="18"/>
          <w:szCs w:val="18"/>
        </w:rPr>
        <w:t>Presently he is working as Professor in the department of Human Physiology, Tripura University, India. His research interest revolves around natural product, wound healing, cancer biology</w:t>
      </w:r>
      <w:r w:rsidR="0091262C">
        <w:rPr>
          <w:rFonts w:asciiTheme="majorHAnsi" w:hAnsiTheme="majorHAnsi"/>
          <w:sz w:val="18"/>
          <w:szCs w:val="18"/>
        </w:rPr>
        <w:t>, immunomodultion</w:t>
      </w:r>
      <w:r>
        <w:rPr>
          <w:rFonts w:asciiTheme="majorHAnsi" w:hAnsiTheme="majorHAnsi"/>
          <w:sz w:val="18"/>
          <w:szCs w:val="18"/>
        </w:rPr>
        <w:t xml:space="preserve"> and cell signaling. </w:t>
      </w:r>
    </w:p>
    <w:p w:rsidR="00AE3E37" w:rsidRPr="000D6982" w:rsidRDefault="00AE3E37">
      <w:pPr>
        <w:pStyle w:val="BodyText"/>
        <w:rPr>
          <w:rFonts w:asciiTheme="majorHAnsi" w:hAnsiTheme="majorHAnsi"/>
          <w:sz w:val="20"/>
        </w:rPr>
      </w:pPr>
    </w:p>
    <w:p w:rsidR="000D6982" w:rsidRPr="002E1DD6"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2E1DD6" w:rsidRPr="002E1DD6">
        <w:rPr>
          <w:rFonts w:asciiTheme="majorHAnsi" w:hAnsiTheme="majorHAnsi"/>
          <w:i/>
          <w:sz w:val="18"/>
          <w:szCs w:val="18"/>
        </w:rPr>
        <w:t>Parkia javanica</w:t>
      </w:r>
      <w:r w:rsidR="002E1DD6" w:rsidRPr="002E1DD6">
        <w:rPr>
          <w:rFonts w:asciiTheme="majorHAnsi" w:hAnsiTheme="majorHAnsi"/>
          <w:sz w:val="18"/>
          <w:szCs w:val="18"/>
        </w:rPr>
        <w:t>, Fibroblast, Keratenocyte, Wound healing, Interleukins, Signaling proteins, Mouse model</w:t>
      </w:r>
      <w:r w:rsidRPr="002E1DD6">
        <w:rPr>
          <w:rFonts w:asciiTheme="majorHAnsi" w:hAnsiTheme="majorHAnsi"/>
          <w:sz w:val="18"/>
          <w:szCs w:val="18"/>
        </w:rPr>
        <w:t>.</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Oral </w:t>
      </w:r>
      <w:r w:rsidRPr="00041A28">
        <w:rPr>
          <w:rFonts w:asciiTheme="majorHAnsi" w:hAnsiTheme="majorHAnsi"/>
          <w:bCs/>
          <w:sz w:val="18"/>
          <w:szCs w:val="18"/>
        </w:rPr>
        <w:tab/>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2E1DD6"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t>Author Name</w:t>
      </w:r>
      <w:r w:rsidR="002E1DD6">
        <w:rPr>
          <w:rFonts w:asciiTheme="majorHAnsi" w:hAnsiTheme="majorHAnsi"/>
          <w:sz w:val="18"/>
          <w:szCs w:val="18"/>
        </w:rPr>
        <w:t>: Prof. Samir Kumar Sil</w:t>
      </w:r>
    </w:p>
    <w:p w:rsidR="002E1DD6"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r>
      <w:r w:rsidR="002E1DD6">
        <w:rPr>
          <w:rFonts w:asciiTheme="majorHAnsi" w:hAnsiTheme="majorHAnsi"/>
          <w:sz w:val="18"/>
          <w:szCs w:val="18"/>
        </w:rPr>
        <w:tab/>
      </w:r>
      <w:r w:rsidRPr="00041A28">
        <w:rPr>
          <w:rFonts w:asciiTheme="majorHAnsi" w:hAnsiTheme="majorHAnsi"/>
          <w:sz w:val="18"/>
          <w:szCs w:val="18"/>
        </w:rPr>
        <w:t xml:space="preserve">e-mail </w:t>
      </w:r>
      <w:r w:rsidR="002E1DD6">
        <w:rPr>
          <w:rFonts w:asciiTheme="majorHAnsi" w:hAnsiTheme="majorHAnsi"/>
          <w:sz w:val="18"/>
          <w:szCs w:val="18"/>
        </w:rPr>
        <w:t>: s_k_sil@yahoo.com</w:t>
      </w:r>
    </w:p>
    <w:p w:rsidR="000D6982" w:rsidRPr="00041A28" w:rsidRDefault="002E1DD6" w:rsidP="000D6982">
      <w:pPr>
        <w:pStyle w:val="Paragraph"/>
        <w:tabs>
          <w:tab w:val="left" w:pos="2520"/>
        </w:tabs>
        <w:ind w:firstLine="0"/>
        <w:jc w:val="both"/>
        <w:rPr>
          <w:rFonts w:asciiTheme="majorHAnsi" w:hAnsiTheme="majorHAnsi"/>
          <w:sz w:val="18"/>
          <w:szCs w:val="18"/>
        </w:rPr>
      </w:pPr>
      <w:r>
        <w:rPr>
          <w:rFonts w:asciiTheme="majorHAnsi" w:hAnsiTheme="majorHAnsi"/>
          <w:sz w:val="18"/>
          <w:szCs w:val="18"/>
        </w:rPr>
        <w:tab/>
      </w:r>
      <w:r>
        <w:rPr>
          <w:rFonts w:asciiTheme="majorHAnsi" w:hAnsiTheme="majorHAnsi"/>
          <w:sz w:val="18"/>
          <w:szCs w:val="18"/>
        </w:rPr>
        <w:tab/>
      </w:r>
      <w:r w:rsidR="000D6982" w:rsidRPr="00041A28">
        <w:rPr>
          <w:rFonts w:asciiTheme="majorHAnsi" w:hAnsiTheme="majorHAnsi"/>
          <w:sz w:val="18"/>
          <w:szCs w:val="18"/>
        </w:rPr>
        <w:t>Address</w:t>
      </w:r>
      <w:r>
        <w:rPr>
          <w:rFonts w:asciiTheme="majorHAnsi" w:hAnsiTheme="majorHAnsi"/>
          <w:sz w:val="18"/>
          <w:szCs w:val="18"/>
        </w:rPr>
        <w:t>:</w:t>
      </w:r>
    </w:p>
    <w:p w:rsidR="002E1DD6"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2E1DD6">
        <w:rPr>
          <w:rFonts w:asciiTheme="majorHAnsi" w:hAnsiTheme="majorHAnsi"/>
          <w:sz w:val="18"/>
          <w:szCs w:val="18"/>
        </w:rPr>
        <w:tab/>
        <w:t xml:space="preserve">Tripura University, </w:t>
      </w:r>
    </w:p>
    <w:p w:rsidR="000D6982" w:rsidRPr="00041A28" w:rsidRDefault="002E1DD6" w:rsidP="000D6982">
      <w:pPr>
        <w:pStyle w:val="Paragraph"/>
        <w:tabs>
          <w:tab w:val="left" w:pos="2520"/>
        </w:tabs>
        <w:ind w:firstLine="0"/>
        <w:jc w:val="both"/>
        <w:rPr>
          <w:rFonts w:asciiTheme="majorHAnsi" w:hAnsiTheme="majorHAnsi"/>
          <w:sz w:val="18"/>
          <w:szCs w:val="18"/>
          <w:lang w:val="en-GB"/>
        </w:rPr>
      </w:pP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t>Suryamaninagar, Agartala, Tripura, India.</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p>
    <w:p w:rsidR="002E1DD6"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2E1DD6">
        <w:rPr>
          <w:rFonts w:asciiTheme="majorHAnsi" w:hAnsiTheme="majorHAnsi"/>
          <w:sz w:val="18"/>
          <w:szCs w:val="18"/>
        </w:rPr>
        <w:tab/>
      </w:r>
      <w:r w:rsidRPr="00041A28">
        <w:rPr>
          <w:rFonts w:asciiTheme="majorHAnsi" w:hAnsiTheme="majorHAnsi"/>
          <w:sz w:val="18"/>
          <w:szCs w:val="18"/>
        </w:rPr>
        <w:t>Telephone Number</w:t>
      </w:r>
      <w:r w:rsidR="002E1DD6">
        <w:rPr>
          <w:rFonts w:asciiTheme="majorHAnsi" w:hAnsiTheme="majorHAnsi"/>
          <w:sz w:val="18"/>
          <w:szCs w:val="18"/>
        </w:rPr>
        <w:t>: 03812308888</w:t>
      </w:r>
      <w:r w:rsidRPr="00041A28">
        <w:rPr>
          <w:rFonts w:asciiTheme="majorHAnsi" w:hAnsiTheme="majorHAnsi"/>
          <w:sz w:val="18"/>
          <w:szCs w:val="18"/>
        </w:rPr>
        <w:t xml:space="preserve">, </w:t>
      </w:r>
    </w:p>
    <w:p w:rsidR="000D6982" w:rsidRPr="00041A28" w:rsidRDefault="002E1DD6" w:rsidP="000D6982">
      <w:pPr>
        <w:pStyle w:val="Paragraph"/>
        <w:tabs>
          <w:tab w:val="left" w:pos="2520"/>
        </w:tabs>
        <w:ind w:firstLine="0"/>
        <w:jc w:val="both"/>
        <w:rPr>
          <w:rFonts w:asciiTheme="majorHAnsi" w:hAnsiTheme="majorHAnsi"/>
          <w:sz w:val="18"/>
          <w:szCs w:val="18"/>
        </w:rPr>
      </w:pP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r>
      <w:r w:rsidR="000D6982" w:rsidRPr="00041A28">
        <w:rPr>
          <w:rFonts w:asciiTheme="majorHAnsi" w:hAnsiTheme="majorHAnsi"/>
          <w:sz w:val="18"/>
          <w:szCs w:val="18"/>
        </w:rPr>
        <w:t>Fax Number</w:t>
      </w:r>
      <w:r>
        <w:rPr>
          <w:rFonts w:asciiTheme="majorHAnsi" w:hAnsiTheme="majorHAnsi"/>
          <w:sz w:val="18"/>
          <w:szCs w:val="18"/>
        </w:rPr>
        <w:t>: 03812373704</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A91" w:rsidRDefault="00035A91">
      <w:r>
        <w:separator/>
      </w:r>
    </w:p>
  </w:endnote>
  <w:endnote w:type="continuationSeparator" w:id="1">
    <w:p w:rsidR="00035A91" w:rsidRDefault="00035A9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4FC5">
    <w:pPr>
      <w:pStyle w:val="BodyText"/>
      <w:spacing w:line="14" w:lineRule="auto"/>
      <w:rPr>
        <w:sz w:val="20"/>
      </w:rPr>
    </w:pPr>
    <w:r w:rsidRPr="00004FC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04FC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04FC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A91" w:rsidRDefault="00035A91">
      <w:r>
        <w:separator/>
      </w:r>
    </w:p>
  </w:footnote>
  <w:footnote w:type="continuationSeparator" w:id="1">
    <w:p w:rsidR="00035A91" w:rsidRDefault="00035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4FC5">
    <w:pPr>
      <w:pStyle w:val="BodyText"/>
      <w:spacing w:line="14" w:lineRule="auto"/>
      <w:rPr>
        <w:sz w:val="20"/>
      </w:rPr>
    </w:pPr>
    <w:r w:rsidRPr="00004FC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004FC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F27C5"/>
    <w:multiLevelType w:val="multilevel"/>
    <w:tmpl w:val="D3D64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8A509E"/>
    <w:multiLevelType w:val="multilevel"/>
    <w:tmpl w:val="E708C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04FC5"/>
    <w:rsid w:val="00035A91"/>
    <w:rsid w:val="00041A28"/>
    <w:rsid w:val="000A195E"/>
    <w:rsid w:val="000C56F8"/>
    <w:rsid w:val="000D6982"/>
    <w:rsid w:val="000E2911"/>
    <w:rsid w:val="001263DF"/>
    <w:rsid w:val="00292ED9"/>
    <w:rsid w:val="002E1DD6"/>
    <w:rsid w:val="002F2A8F"/>
    <w:rsid w:val="003B4007"/>
    <w:rsid w:val="00404E5B"/>
    <w:rsid w:val="00414F7B"/>
    <w:rsid w:val="004355DC"/>
    <w:rsid w:val="004749B4"/>
    <w:rsid w:val="00494130"/>
    <w:rsid w:val="004F3523"/>
    <w:rsid w:val="005973B9"/>
    <w:rsid w:val="005B3A56"/>
    <w:rsid w:val="006060CE"/>
    <w:rsid w:val="0063497F"/>
    <w:rsid w:val="00801CA9"/>
    <w:rsid w:val="008205DE"/>
    <w:rsid w:val="00873DF0"/>
    <w:rsid w:val="008756E6"/>
    <w:rsid w:val="0091262C"/>
    <w:rsid w:val="009634C7"/>
    <w:rsid w:val="009B2D44"/>
    <w:rsid w:val="009C374B"/>
    <w:rsid w:val="00A07E82"/>
    <w:rsid w:val="00A108FE"/>
    <w:rsid w:val="00A9710C"/>
    <w:rsid w:val="00AE3E37"/>
    <w:rsid w:val="00B05803"/>
    <w:rsid w:val="00B21A57"/>
    <w:rsid w:val="00B429DF"/>
    <w:rsid w:val="00B53DFF"/>
    <w:rsid w:val="00BA4A7A"/>
    <w:rsid w:val="00C33602"/>
    <w:rsid w:val="00C51F3B"/>
    <w:rsid w:val="00CB1BF4"/>
    <w:rsid w:val="00CD6F55"/>
    <w:rsid w:val="00CF2B25"/>
    <w:rsid w:val="00D17E59"/>
    <w:rsid w:val="00D732F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paragraph" w:styleId="NoSpacing">
    <w:name w:val="No Spacing"/>
    <w:uiPriority w:val="1"/>
    <w:qFormat/>
    <w:rsid w:val="002E1DD6"/>
    <w:pPr>
      <w:widowControl/>
    </w:pPr>
    <w:rPr>
      <w:lang w:val="en-IN"/>
    </w:rPr>
  </w:style>
  <w:style w:type="character" w:customStyle="1" w:styleId="Heading1Char">
    <w:name w:val="Heading 1 Char"/>
    <w:basedOn w:val="DefaultParagraphFont"/>
    <w:link w:val="Heading1"/>
    <w:uiPriority w:val="1"/>
    <w:rsid w:val="00BA4A7A"/>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75977556">
      <w:bodyDiv w:val="1"/>
      <w:marLeft w:val="0"/>
      <w:marRight w:val="0"/>
      <w:marTop w:val="0"/>
      <w:marBottom w:val="0"/>
      <w:divBdr>
        <w:top w:val="none" w:sz="0" w:space="0" w:color="auto"/>
        <w:left w:val="none" w:sz="0" w:space="0" w:color="auto"/>
        <w:bottom w:val="none" w:sz="0" w:space="0" w:color="auto"/>
        <w:right w:val="none" w:sz="0" w:space="0" w:color="auto"/>
      </w:divBdr>
      <w:divsChild>
        <w:div w:id="789395577">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34516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Edmonds%20CA%5BAuthor%5D&amp;cauthor=true&amp;cauthor_uid=16400607" TargetMode="External"/><Relationship Id="rId18" Type="http://schemas.openxmlformats.org/officeDocument/2006/relationships/hyperlink" Target="https://www.ncbi.nlm.nih.gov/pubmed/?term=Ramesh%20A%5BAuthor%5D&amp;cauthor=true&amp;cauthor_uid=16400607" TargetMode="External"/><Relationship Id="rId26"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s://www.ncbi.nlm.nih.gov/pubmed/?term=Cavalli-Sforza%20LL%5BAuthor%5D&amp;cauthor=true&amp;cauthor_uid=16400607" TargetMode="External"/><Relationship Id="rId7" Type="http://schemas.openxmlformats.org/officeDocument/2006/relationships/header" Target="header1.xml"/><Relationship Id="rId12" Type="http://schemas.openxmlformats.org/officeDocument/2006/relationships/hyperlink" Target="https://www.ncbi.nlm.nih.gov/pubmed/?term=Mehdi%20SQ%5BAuthor%5D&amp;cauthor=true&amp;cauthor_uid=16400607" TargetMode="External"/><Relationship Id="rId17" Type="http://schemas.openxmlformats.org/officeDocument/2006/relationships/hyperlink" Target="https://www.ncbi.nlm.nih.gov/pubmed/?term=Sil%20SK%5BAuthor%5D&amp;cauthor=true&amp;cauthor_uid=16400607" TargetMode="External"/><Relationship Id="rId25" Type="http://schemas.openxmlformats.org/officeDocument/2006/relationships/hyperlink" Target="http://jddtonline.info/index.php/jddt/article/view/1657" TargetMode="External"/><Relationship Id="rId2" Type="http://schemas.openxmlformats.org/officeDocument/2006/relationships/styles" Target="styles.xml"/><Relationship Id="rId16" Type="http://schemas.openxmlformats.org/officeDocument/2006/relationships/hyperlink" Target="https://www.ncbi.nlm.nih.gov/pubmed/?term=Mitra%20M%5BAuthor%5D&amp;cauthor=true&amp;cauthor_uid=16400607" TargetMode="External"/><Relationship Id="rId20" Type="http://schemas.openxmlformats.org/officeDocument/2006/relationships/hyperlink" Target="https://www.ncbi.nlm.nih.gov/pubmed/?term=Thakur%20CM%5BAuthor%5D&amp;cauthor=true&amp;cauthor_uid=16400607" TargetMode="Externa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King%20R%5BAuthor%5D&amp;cauthor=true&amp;cauthor_uid=16400607" TargetMode="External"/><Relationship Id="rId24" Type="http://schemas.openxmlformats.org/officeDocument/2006/relationships/hyperlink" Target="https://www.ncbi.nlm.nih.gov/pubmed/16400607" TargetMode="External"/><Relationship Id="rId5" Type="http://schemas.openxmlformats.org/officeDocument/2006/relationships/footnotes" Target="footnotes.xml"/><Relationship Id="rId15" Type="http://schemas.openxmlformats.org/officeDocument/2006/relationships/hyperlink" Target="https://www.ncbi.nlm.nih.gov/pubmed/?term=Lin%20AA%5BAuthor%5D&amp;cauthor=true&amp;cauthor_uid=16400607" TargetMode="External"/><Relationship Id="rId23" Type="http://schemas.openxmlformats.org/officeDocument/2006/relationships/hyperlink" Target="https://www.ncbi.nlm.nih.gov/pubmed/?term=Underhill%20PA%5BAuthor%5D&amp;cauthor=true&amp;cauthor_uid=16400607" TargetMode="External"/><Relationship Id="rId28" Type="http://schemas.openxmlformats.org/officeDocument/2006/relationships/theme" Target="theme/theme1.xml"/><Relationship Id="rId10" Type="http://schemas.openxmlformats.org/officeDocument/2006/relationships/hyperlink" Target="https://www.ncbi.nlm.nih.gov/pubmed/?term=Zhivotovsky%20LA%5BAuthor%5D&amp;cauthor=true&amp;cauthor_uid=16400607" TargetMode="External"/><Relationship Id="rId19" Type="http://schemas.openxmlformats.org/officeDocument/2006/relationships/hyperlink" Target="https://www.ncbi.nlm.nih.gov/pubmed/?term=Usha%20Rani%20MV%5BAuthor%5D&amp;cauthor=true&amp;cauthor_uid=16400607" TargetMode="External"/><Relationship Id="rId4" Type="http://schemas.openxmlformats.org/officeDocument/2006/relationships/webSettings" Target="webSettings.xml"/><Relationship Id="rId9" Type="http://schemas.openxmlformats.org/officeDocument/2006/relationships/hyperlink" Target="https://www.ncbi.nlm.nih.gov/pubmed/?term=Sengupta%20S%5BAuthor%5D&amp;cauthor=true&amp;cauthor_uid=16400607" TargetMode="External"/><Relationship Id="rId14" Type="http://schemas.openxmlformats.org/officeDocument/2006/relationships/hyperlink" Target="https://www.ncbi.nlm.nih.gov/pubmed/?term=Chow%20CE%5BAuthor%5D&amp;cauthor=true&amp;cauthor_uid=16400607" TargetMode="External"/><Relationship Id="rId22" Type="http://schemas.openxmlformats.org/officeDocument/2006/relationships/hyperlink" Target="https://www.ncbi.nlm.nih.gov/pubmed/?term=Majumder%20PP%5BAuthor%5D&amp;cauthor=true&amp;cauthor_uid=16400607"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 K. SIL</cp:lastModifiedBy>
  <cp:revision>2</cp:revision>
  <dcterms:created xsi:type="dcterms:W3CDTF">2018-08-26T18:30:00Z</dcterms:created>
  <dcterms:modified xsi:type="dcterms:W3CDTF">2018-08-26T18:30:00Z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