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1C440" w14:textId="77777777"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14:paraId="1B52C696" w14:textId="77777777"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14:paraId="51991B38" w14:textId="77777777" w:rsidR="009A428F" w:rsidRPr="009A428F" w:rsidRDefault="009A428F" w:rsidP="009A428F">
      <w:pPr>
        <w:rPr>
          <w:rFonts w:asciiTheme="majorHAnsi" w:hAnsiTheme="majorHAnsi"/>
          <w:b/>
          <w:color w:val="337AB7"/>
          <w:sz w:val="28"/>
          <w:szCs w:val="28"/>
        </w:rPr>
      </w:pPr>
      <w:r w:rsidRPr="009A428F">
        <w:rPr>
          <w:rFonts w:asciiTheme="majorHAnsi" w:hAnsiTheme="majorHAnsi"/>
          <w:b/>
          <w:color w:val="337AB7"/>
          <w:sz w:val="28"/>
          <w:szCs w:val="28"/>
        </w:rPr>
        <w:t>How are we going to pay for advanced therapeutics in wound care?</w:t>
      </w:r>
    </w:p>
    <w:p w14:paraId="79B60C0E" w14:textId="63F2BB19" w:rsidR="000D6982" w:rsidRPr="000D6982" w:rsidRDefault="00997572" w:rsidP="000D6982">
      <w:pPr>
        <w:rPr>
          <w:rFonts w:asciiTheme="majorHAnsi" w:hAnsiTheme="majorHAnsi"/>
          <w:vertAlign w:val="superscript"/>
        </w:rPr>
      </w:pPr>
      <w:r>
        <w:rPr>
          <w:rFonts w:asciiTheme="majorHAnsi" w:hAnsiTheme="majorHAnsi"/>
          <w:u w:val="single"/>
        </w:rPr>
        <w:t xml:space="preserve">Marissa J. </w:t>
      </w:r>
      <w:proofErr w:type="spellStart"/>
      <w:r>
        <w:rPr>
          <w:rFonts w:asciiTheme="majorHAnsi" w:hAnsiTheme="majorHAnsi"/>
          <w:u w:val="single"/>
        </w:rPr>
        <w:t>Carter</w:t>
      </w:r>
      <w:r w:rsidR="000D6982" w:rsidRPr="000D6982">
        <w:rPr>
          <w:rFonts w:asciiTheme="majorHAnsi" w:hAnsiTheme="majorHAnsi"/>
          <w:u w:val="single"/>
          <w:vertAlign w:val="superscript"/>
        </w:rPr>
        <w:t>a</w:t>
      </w:r>
      <w:proofErr w:type="spellEnd"/>
      <w:r w:rsidR="000D6982" w:rsidRPr="000D6982">
        <w:rPr>
          <w:rFonts w:asciiTheme="majorHAnsi" w:hAnsiTheme="majorHAnsi"/>
        </w:rPr>
        <w:t>*</w:t>
      </w:r>
    </w:p>
    <w:p w14:paraId="57F977AF" w14:textId="77777777" w:rsidR="000D6982" w:rsidRPr="000D6982" w:rsidRDefault="000D6982" w:rsidP="000D6982">
      <w:pPr>
        <w:jc w:val="center"/>
        <w:rPr>
          <w:rFonts w:asciiTheme="majorHAnsi" w:hAnsiTheme="majorHAnsi"/>
        </w:rPr>
      </w:pPr>
    </w:p>
    <w:p w14:paraId="1871657E" w14:textId="63F6DB19" w:rsidR="000D6982" w:rsidRPr="000D6982" w:rsidRDefault="000D6982" w:rsidP="000D6982">
      <w:pPr>
        <w:rPr>
          <w:rFonts w:asciiTheme="majorHAnsi" w:hAnsiTheme="majorHAnsi"/>
          <w:i/>
        </w:rPr>
      </w:pPr>
      <w:proofErr w:type="spellStart"/>
      <w:r w:rsidRPr="00997572">
        <w:rPr>
          <w:rFonts w:asciiTheme="majorHAnsi" w:hAnsiTheme="majorHAnsi"/>
          <w:i/>
          <w:vertAlign w:val="superscript"/>
        </w:rPr>
        <w:t>a</w:t>
      </w:r>
      <w:r w:rsidR="00997572" w:rsidRPr="00997572">
        <w:rPr>
          <w:rFonts w:asciiTheme="majorHAnsi" w:hAnsiTheme="majorHAnsi"/>
          <w:i/>
        </w:rPr>
        <w:t>Strategic</w:t>
      </w:r>
      <w:proofErr w:type="spellEnd"/>
      <w:r w:rsidR="00997572" w:rsidRPr="00997572">
        <w:rPr>
          <w:rFonts w:asciiTheme="majorHAnsi" w:hAnsiTheme="majorHAnsi"/>
          <w:i/>
        </w:rPr>
        <w:t xml:space="preserve"> Solutions, Inc.</w:t>
      </w:r>
      <w:r w:rsidR="00997572">
        <w:rPr>
          <w:rFonts w:asciiTheme="majorHAnsi" w:hAnsiTheme="majorHAnsi"/>
          <w:i/>
        </w:rPr>
        <w:t>, Cody, WY, 82414, USA</w:t>
      </w:r>
    </w:p>
    <w:p w14:paraId="172516E4" w14:textId="77777777"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14:paraId="04EBE453" w14:textId="77777777"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w:t>
      </w:r>
      <w:proofErr w:type="gramStart"/>
      <w:r w:rsidR="00404E5B" w:rsidRPr="000D6982">
        <w:rPr>
          <w:rFonts w:asciiTheme="majorHAnsi" w:hAnsiTheme="majorHAnsi"/>
          <w:color w:val="BF5A14"/>
        </w:rPr>
        <w:t>300 word</w:t>
      </w:r>
      <w:proofErr w:type="gramEnd"/>
      <w:r w:rsidR="00404E5B" w:rsidRPr="000D6982">
        <w:rPr>
          <w:rFonts w:asciiTheme="majorHAnsi" w:hAnsiTheme="majorHAnsi"/>
          <w:color w:val="BF5A14"/>
        </w:rPr>
        <w:t xml:space="preserve"> limit)</w:t>
      </w:r>
    </w:p>
    <w:p w14:paraId="68A3002B" w14:textId="4DB0DE1E" w:rsidR="00AE3E37" w:rsidRPr="000D6982" w:rsidRDefault="0019597C">
      <w:pPr>
        <w:pStyle w:val="BodyText"/>
        <w:spacing w:before="90" w:line="280" w:lineRule="auto"/>
        <w:ind w:left="100"/>
        <w:jc w:val="both"/>
        <w:rPr>
          <w:rFonts w:asciiTheme="majorHAnsi" w:hAnsiTheme="majorHAnsi"/>
        </w:rPr>
      </w:pPr>
      <w:r>
        <w:rPr>
          <w:rFonts w:asciiTheme="majorHAnsi" w:hAnsiTheme="majorHAnsi"/>
        </w:rPr>
        <w:t xml:space="preserve">Although wound care is not a recognized specialty, the cost of treating wounds, especially chronic wounds, is phenomenal. </w:t>
      </w:r>
      <w:r w:rsidR="00997572">
        <w:rPr>
          <w:rFonts w:asciiTheme="majorHAnsi" w:hAnsiTheme="majorHAnsi"/>
        </w:rPr>
        <w:t xml:space="preserve">Most </w:t>
      </w:r>
      <w:r>
        <w:rPr>
          <w:rFonts w:asciiTheme="majorHAnsi" w:hAnsiTheme="majorHAnsi"/>
        </w:rPr>
        <w:t xml:space="preserve">wound care products categorized by the FDA as devices have been approved as adjunctive treatments </w:t>
      </w:r>
      <w:r w:rsidR="00997572">
        <w:rPr>
          <w:rFonts w:asciiTheme="majorHAnsi" w:hAnsiTheme="majorHAnsi"/>
        </w:rPr>
        <w:t>based on</w:t>
      </w:r>
      <w:r>
        <w:rPr>
          <w:rFonts w:asciiTheme="majorHAnsi" w:hAnsiTheme="majorHAnsi"/>
        </w:rPr>
        <w:t xml:space="preserve"> the concept that these products may accelerate wound healing directly or indirectly</w:t>
      </w:r>
      <w:r w:rsidR="00334141">
        <w:rPr>
          <w:rFonts w:asciiTheme="majorHAnsi" w:hAnsiTheme="majorHAnsi"/>
        </w:rPr>
        <w:t xml:space="preserve">. </w:t>
      </w:r>
      <w:r w:rsidR="00813A65">
        <w:rPr>
          <w:rFonts w:asciiTheme="majorHAnsi" w:hAnsiTheme="majorHAnsi"/>
        </w:rPr>
        <w:t xml:space="preserve">Many new products such as CTPs (cellular and/or tissue-based products) are expensive, and may need to have several applications. </w:t>
      </w:r>
      <w:r w:rsidR="00334141">
        <w:rPr>
          <w:rFonts w:asciiTheme="majorHAnsi" w:hAnsiTheme="majorHAnsi"/>
        </w:rPr>
        <w:t>At the same time, in the USA the Centers for Medicare and Medicaid are exerting pressure in regard to reimbursement amounts</w:t>
      </w:r>
      <w:r w:rsidR="00813A65">
        <w:rPr>
          <w:rFonts w:asciiTheme="majorHAnsi" w:hAnsiTheme="majorHAnsi"/>
        </w:rPr>
        <w:t xml:space="preserve"> for these products</w:t>
      </w:r>
      <w:r w:rsidR="00334141">
        <w:rPr>
          <w:rFonts w:asciiTheme="majorHAnsi" w:hAnsiTheme="majorHAnsi"/>
        </w:rPr>
        <w:t>.</w:t>
      </w:r>
      <w:r w:rsidR="00997572">
        <w:rPr>
          <w:rFonts w:asciiTheme="majorHAnsi" w:hAnsiTheme="majorHAnsi"/>
        </w:rPr>
        <w:t xml:space="preserve"> Current reimbursement amounts for the application of some products may not be sufficient to keep a dedicated wound care clinic profitable when half of all patients are on Medicare or Medicaid and a further 10-15% have no medical insurance. Indeed, some patients may not receive any such products due to poor or no medical insurance. </w:t>
      </w:r>
      <w:r w:rsidR="00334141">
        <w:rPr>
          <w:rFonts w:asciiTheme="majorHAnsi" w:hAnsiTheme="majorHAnsi"/>
        </w:rPr>
        <w:t>The majority of device clinical trials are post-market because of 510(k) approval and are frequently limited to non-severe wounds</w:t>
      </w:r>
      <w:r w:rsidR="009E195A">
        <w:rPr>
          <w:rFonts w:asciiTheme="majorHAnsi" w:hAnsiTheme="majorHAnsi"/>
        </w:rPr>
        <w:t xml:space="preserve"> in indication (</w:t>
      </w:r>
      <w:r w:rsidR="00334141">
        <w:rPr>
          <w:rFonts w:asciiTheme="majorHAnsi" w:hAnsiTheme="majorHAnsi"/>
        </w:rPr>
        <w:t>although many patients may have serious comorbidities</w:t>
      </w:r>
      <w:r w:rsidR="009E195A">
        <w:rPr>
          <w:rFonts w:asciiTheme="majorHAnsi" w:hAnsiTheme="majorHAnsi"/>
        </w:rPr>
        <w:t>)</w:t>
      </w:r>
      <w:r w:rsidR="00334141">
        <w:rPr>
          <w:rFonts w:asciiTheme="majorHAnsi" w:hAnsiTheme="majorHAnsi"/>
        </w:rPr>
        <w:t xml:space="preserve">. </w:t>
      </w:r>
      <w:r w:rsidR="009E195A">
        <w:rPr>
          <w:rFonts w:asciiTheme="majorHAnsi" w:hAnsiTheme="majorHAnsi"/>
        </w:rPr>
        <w:t>Thus</w:t>
      </w:r>
      <w:r w:rsidR="00334141">
        <w:rPr>
          <w:rFonts w:asciiTheme="majorHAnsi" w:hAnsiTheme="majorHAnsi"/>
        </w:rPr>
        <w:t xml:space="preserve">, </w:t>
      </w:r>
      <w:r w:rsidR="00997572">
        <w:rPr>
          <w:rFonts w:asciiTheme="majorHAnsi" w:hAnsiTheme="majorHAnsi"/>
        </w:rPr>
        <w:t xml:space="preserve">and most important, </w:t>
      </w:r>
      <w:r w:rsidR="00334141">
        <w:rPr>
          <w:rFonts w:asciiTheme="majorHAnsi" w:hAnsiTheme="majorHAnsi"/>
        </w:rPr>
        <w:t xml:space="preserve">the performance of many products </w:t>
      </w:r>
      <w:r>
        <w:rPr>
          <w:rFonts w:asciiTheme="majorHAnsi" w:hAnsiTheme="majorHAnsi"/>
        </w:rPr>
        <w:t xml:space="preserve">used to treat </w:t>
      </w:r>
      <w:r w:rsidR="00334141">
        <w:rPr>
          <w:rFonts w:asciiTheme="majorHAnsi" w:hAnsiTheme="majorHAnsi"/>
        </w:rPr>
        <w:t xml:space="preserve">more severe wounds is unknown due to a scarcity </w:t>
      </w:r>
      <w:r w:rsidR="009E195A">
        <w:rPr>
          <w:rFonts w:asciiTheme="majorHAnsi" w:hAnsiTheme="majorHAnsi"/>
        </w:rPr>
        <w:t xml:space="preserve">of </w:t>
      </w:r>
      <w:r w:rsidR="00334141">
        <w:rPr>
          <w:rFonts w:asciiTheme="majorHAnsi" w:hAnsiTheme="majorHAnsi"/>
        </w:rPr>
        <w:t xml:space="preserve">randomized controlled trials. </w:t>
      </w:r>
      <w:r w:rsidR="00997572">
        <w:rPr>
          <w:rFonts w:asciiTheme="majorHAnsi" w:hAnsiTheme="majorHAnsi"/>
        </w:rPr>
        <w:t>P</w:t>
      </w:r>
      <w:r>
        <w:rPr>
          <w:rFonts w:asciiTheme="majorHAnsi" w:hAnsiTheme="majorHAnsi"/>
        </w:rPr>
        <w:t xml:space="preserve">ayers are </w:t>
      </w:r>
      <w:r w:rsidR="00997572">
        <w:rPr>
          <w:rFonts w:asciiTheme="majorHAnsi" w:hAnsiTheme="majorHAnsi"/>
        </w:rPr>
        <w:t xml:space="preserve">also </w:t>
      </w:r>
      <w:r>
        <w:rPr>
          <w:rFonts w:asciiTheme="majorHAnsi" w:hAnsiTheme="majorHAnsi"/>
        </w:rPr>
        <w:t xml:space="preserve">fixated on “episodes of care,” which is hard to define </w:t>
      </w:r>
      <w:r w:rsidR="009E195A">
        <w:rPr>
          <w:rFonts w:asciiTheme="majorHAnsi" w:hAnsiTheme="majorHAnsi"/>
        </w:rPr>
        <w:t xml:space="preserve">when half of all patients have multiple wounds that overlap over long periods of time (many years). Part of this chaos has resulted from lack of will at the national level to officially use health economic studies to weed out </w:t>
      </w:r>
      <w:r w:rsidR="00C56D2B">
        <w:rPr>
          <w:rFonts w:asciiTheme="majorHAnsi" w:hAnsiTheme="majorHAnsi"/>
        </w:rPr>
        <w:t>cost-</w:t>
      </w:r>
      <w:r w:rsidR="009E195A">
        <w:rPr>
          <w:rFonts w:asciiTheme="majorHAnsi" w:hAnsiTheme="majorHAnsi"/>
        </w:rPr>
        <w:t>inefficient products</w:t>
      </w:r>
      <w:r w:rsidR="00B54708">
        <w:rPr>
          <w:rFonts w:asciiTheme="majorHAnsi" w:hAnsiTheme="majorHAnsi"/>
        </w:rPr>
        <w:t>, and lack of understanding of health economics by payers</w:t>
      </w:r>
      <w:r w:rsidR="00C56D2B">
        <w:rPr>
          <w:rFonts w:asciiTheme="majorHAnsi" w:hAnsiTheme="majorHAnsi"/>
        </w:rPr>
        <w:t>. The situation will only get better when trials involving more severe wounds are commonplace, we have more FDA–approved endpoints appropriate for some products, and we are willing to formally include health economic analyses in our decision-making.</w:t>
      </w:r>
      <w:r>
        <w:rPr>
          <w:rFonts w:asciiTheme="majorHAnsi" w:hAnsiTheme="majorHAnsi"/>
        </w:rPr>
        <w:t xml:space="preserve"> </w:t>
      </w:r>
    </w:p>
    <w:p w14:paraId="504A5E6B" w14:textId="77777777"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t>Image</w:t>
      </w:r>
    </w:p>
    <w:p w14:paraId="5014FED2" w14:textId="27B8CAA3" w:rsidR="00AE3E37" w:rsidRPr="000D6982" w:rsidRDefault="003763EF">
      <w:pPr>
        <w:pStyle w:val="BodyText"/>
        <w:spacing w:before="2"/>
        <w:rPr>
          <w:rFonts w:asciiTheme="majorHAnsi" w:hAnsiTheme="majorHAnsi"/>
          <w:b/>
          <w:sz w:val="16"/>
        </w:rPr>
      </w:pPr>
      <w:r>
        <w:rPr>
          <w:rFonts w:asciiTheme="majorHAnsi" w:hAnsiTheme="majorHAnsi"/>
          <w:b/>
          <w:noProof/>
          <w:sz w:val="16"/>
        </w:rPr>
        <w:drawing>
          <wp:inline distT="0" distB="0" distL="0" distR="0" wp14:anchorId="7742A83A" wp14:editId="6DE21DF5">
            <wp:extent cx="3165475" cy="16179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617980"/>
                    </a:xfrm>
                    <a:prstGeom prst="rect">
                      <a:avLst/>
                    </a:prstGeom>
                  </pic:spPr>
                </pic:pic>
              </a:graphicData>
            </a:graphic>
          </wp:inline>
        </w:drawing>
      </w:r>
    </w:p>
    <w:p w14:paraId="45322ABE" w14:textId="77777777" w:rsidR="003763EF" w:rsidRDefault="003763EF" w:rsidP="005973B9">
      <w:pPr>
        <w:spacing w:line="204" w:lineRule="exact"/>
        <w:rPr>
          <w:rFonts w:asciiTheme="majorHAnsi" w:hAnsiTheme="majorHAnsi"/>
          <w:b/>
          <w:color w:val="BF5A14"/>
          <w:sz w:val="20"/>
        </w:rPr>
      </w:pPr>
      <w:r w:rsidRPr="003763EF">
        <w:rPr>
          <w:rFonts w:asciiTheme="majorHAnsi" w:hAnsiTheme="majorHAnsi"/>
          <w:b/>
          <w:sz w:val="18"/>
          <w:szCs w:val="18"/>
        </w:rPr>
        <w:t>Figure 1: Factors that may affect the cost-effectiveness of CTPs (cellular and/or tissue-based products)</w:t>
      </w:r>
    </w:p>
    <w:p w14:paraId="508090DC" w14:textId="589AC987" w:rsidR="005973B9" w:rsidRPr="000D6982" w:rsidRDefault="005973B9" w:rsidP="005973B9">
      <w:pPr>
        <w:spacing w:line="204" w:lineRule="exact"/>
        <w:rPr>
          <w:rFonts w:asciiTheme="majorHAnsi" w:hAnsiTheme="majorHAnsi"/>
          <w:b/>
          <w:sz w:val="20"/>
        </w:rPr>
      </w:pPr>
      <w:r w:rsidRPr="003763EF">
        <w:rPr>
          <w:rFonts w:asciiTheme="majorHAnsi" w:hAnsiTheme="majorHAnsi"/>
          <w:b/>
          <w:color w:val="BF5A14"/>
          <w:sz w:val="20"/>
        </w:rPr>
        <w:br/>
      </w:r>
      <w:r w:rsidRPr="000D6982">
        <w:rPr>
          <w:rFonts w:asciiTheme="majorHAnsi" w:hAnsiTheme="majorHAnsi"/>
          <w:b/>
          <w:color w:val="BF5A14"/>
          <w:sz w:val="20"/>
        </w:rPr>
        <w:t>Recent Publications (minimum 5)</w:t>
      </w:r>
    </w:p>
    <w:p w14:paraId="665CEC60" w14:textId="6A9FAC84" w:rsidR="008B2039" w:rsidRPr="008B2039" w:rsidRDefault="008B2039" w:rsidP="008B2039">
      <w:pPr>
        <w:pStyle w:val="ListParagraph"/>
        <w:numPr>
          <w:ilvl w:val="0"/>
          <w:numId w:val="3"/>
        </w:numPr>
        <w:tabs>
          <w:tab w:val="left" w:pos="384"/>
        </w:tabs>
        <w:spacing w:line="216" w:lineRule="exact"/>
        <w:ind w:right="137" w:hanging="283"/>
        <w:jc w:val="left"/>
        <w:rPr>
          <w:rFonts w:asciiTheme="majorHAnsi" w:eastAsia="Tw Cen MT" w:hAnsiTheme="majorHAnsi" w:cs="Tw Cen MT"/>
          <w:sz w:val="18"/>
          <w:szCs w:val="18"/>
        </w:rPr>
      </w:pPr>
      <w:r w:rsidRPr="008B2039">
        <w:rPr>
          <w:rFonts w:asciiTheme="majorHAnsi" w:eastAsia="Tw Cen MT" w:hAnsiTheme="majorHAnsi" w:cs="Tw Cen MT"/>
          <w:sz w:val="18"/>
          <w:szCs w:val="18"/>
        </w:rPr>
        <w:t>Fife CE, Eckert KA, Carter MJ</w:t>
      </w:r>
      <w:r>
        <w:rPr>
          <w:rFonts w:asciiTheme="majorHAnsi" w:eastAsia="Tw Cen MT" w:hAnsiTheme="majorHAnsi" w:cs="Tw Cen MT"/>
          <w:sz w:val="18"/>
          <w:szCs w:val="18"/>
        </w:rPr>
        <w:t xml:space="preserve"> (2018)</w:t>
      </w:r>
      <w:r w:rsidRPr="008B2039">
        <w:rPr>
          <w:rFonts w:asciiTheme="majorHAnsi" w:eastAsia="Tw Cen MT" w:hAnsiTheme="majorHAnsi" w:cs="Tw Cen MT"/>
          <w:sz w:val="18"/>
          <w:szCs w:val="18"/>
        </w:rPr>
        <w:t>. Publicly</w:t>
      </w:r>
      <w:r>
        <w:rPr>
          <w:rFonts w:asciiTheme="majorHAnsi" w:eastAsia="Tw Cen MT" w:hAnsiTheme="majorHAnsi" w:cs="Tw Cen MT"/>
          <w:sz w:val="18"/>
          <w:szCs w:val="18"/>
        </w:rPr>
        <w:t xml:space="preserve"> reported wound h</w:t>
      </w:r>
      <w:r w:rsidRPr="008B2039">
        <w:rPr>
          <w:rFonts w:asciiTheme="majorHAnsi" w:eastAsia="Tw Cen MT" w:hAnsiTheme="majorHAnsi" w:cs="Tw Cen MT"/>
          <w:sz w:val="18"/>
          <w:szCs w:val="18"/>
        </w:rPr>
        <w:t xml:space="preserve">ealing Rates: The </w:t>
      </w:r>
      <w:r>
        <w:rPr>
          <w:rFonts w:asciiTheme="majorHAnsi" w:eastAsia="Tw Cen MT" w:hAnsiTheme="majorHAnsi" w:cs="Tw Cen MT"/>
          <w:sz w:val="18"/>
          <w:szCs w:val="18"/>
        </w:rPr>
        <w:t>f</w:t>
      </w:r>
      <w:r w:rsidRPr="008B2039">
        <w:rPr>
          <w:rFonts w:asciiTheme="majorHAnsi" w:eastAsia="Tw Cen MT" w:hAnsiTheme="majorHAnsi" w:cs="Tw Cen MT"/>
          <w:sz w:val="18"/>
          <w:szCs w:val="18"/>
        </w:rPr>
        <w:t xml:space="preserve">antasy and the </w:t>
      </w:r>
      <w:r>
        <w:rPr>
          <w:rFonts w:asciiTheme="majorHAnsi" w:eastAsia="Tw Cen MT" w:hAnsiTheme="majorHAnsi" w:cs="Tw Cen MT"/>
          <w:sz w:val="18"/>
          <w:szCs w:val="18"/>
        </w:rPr>
        <w:t>r</w:t>
      </w:r>
      <w:r w:rsidRPr="008B2039">
        <w:rPr>
          <w:rFonts w:asciiTheme="majorHAnsi" w:eastAsia="Tw Cen MT" w:hAnsiTheme="majorHAnsi" w:cs="Tw Cen MT"/>
          <w:sz w:val="18"/>
          <w:szCs w:val="18"/>
        </w:rPr>
        <w:t>eality. Adv Wound Care (New Rochelle)</w:t>
      </w:r>
      <w:r>
        <w:rPr>
          <w:rFonts w:asciiTheme="majorHAnsi" w:eastAsia="Tw Cen MT" w:hAnsiTheme="majorHAnsi" w:cs="Tw Cen MT"/>
          <w:sz w:val="18"/>
          <w:szCs w:val="18"/>
        </w:rPr>
        <w:t xml:space="preserve"> </w:t>
      </w:r>
      <w:r w:rsidRPr="008B2039">
        <w:rPr>
          <w:rFonts w:asciiTheme="majorHAnsi" w:eastAsia="Tw Cen MT" w:hAnsiTheme="majorHAnsi" w:cs="Tw Cen MT"/>
          <w:sz w:val="18"/>
          <w:szCs w:val="18"/>
        </w:rPr>
        <w:t>7:77-94.</w:t>
      </w:r>
    </w:p>
    <w:p w14:paraId="580D3C63" w14:textId="0AAA2750" w:rsidR="005973B9" w:rsidRDefault="00503B9D" w:rsidP="008B2039">
      <w:pPr>
        <w:pStyle w:val="ListParagraph"/>
        <w:numPr>
          <w:ilvl w:val="0"/>
          <w:numId w:val="3"/>
        </w:numPr>
        <w:tabs>
          <w:tab w:val="left" w:pos="384"/>
        </w:tabs>
        <w:spacing w:line="216" w:lineRule="exact"/>
        <w:ind w:right="137" w:hanging="283"/>
        <w:jc w:val="left"/>
        <w:rPr>
          <w:rFonts w:asciiTheme="majorHAnsi" w:eastAsia="Tw Cen MT" w:hAnsiTheme="majorHAnsi" w:cs="Tw Cen MT"/>
          <w:sz w:val="18"/>
          <w:szCs w:val="18"/>
        </w:rPr>
      </w:pPr>
      <w:r w:rsidRPr="008B2039">
        <w:rPr>
          <w:rFonts w:asciiTheme="majorHAnsi" w:eastAsia="Tw Cen MT" w:hAnsiTheme="majorHAnsi" w:cs="Tw Cen MT"/>
          <w:sz w:val="18"/>
          <w:szCs w:val="18"/>
        </w:rPr>
        <w:t xml:space="preserve">Nussbaum SR, Carter MJ, Fife CE, </w:t>
      </w:r>
      <w:proofErr w:type="spellStart"/>
      <w:r w:rsidRPr="008B2039">
        <w:rPr>
          <w:rFonts w:asciiTheme="majorHAnsi" w:eastAsia="Tw Cen MT" w:hAnsiTheme="majorHAnsi" w:cs="Tw Cen MT"/>
          <w:sz w:val="18"/>
          <w:szCs w:val="18"/>
        </w:rPr>
        <w:t>DaVanzo</w:t>
      </w:r>
      <w:proofErr w:type="spellEnd"/>
      <w:r w:rsidRPr="008B2039">
        <w:rPr>
          <w:rFonts w:asciiTheme="majorHAnsi" w:eastAsia="Tw Cen MT" w:hAnsiTheme="majorHAnsi" w:cs="Tw Cen MT"/>
          <w:sz w:val="18"/>
          <w:szCs w:val="18"/>
        </w:rPr>
        <w:t xml:space="preserve"> J, Haught R, Nusgart M, Cartwright D</w:t>
      </w:r>
      <w:r w:rsidR="008B2039">
        <w:rPr>
          <w:rFonts w:asciiTheme="majorHAnsi" w:eastAsia="Tw Cen MT" w:hAnsiTheme="majorHAnsi" w:cs="Tw Cen MT"/>
          <w:sz w:val="18"/>
          <w:szCs w:val="18"/>
        </w:rPr>
        <w:t xml:space="preserve"> (201</w:t>
      </w:r>
      <w:bookmarkStart w:id="0" w:name="_GoBack"/>
      <w:bookmarkEnd w:id="0"/>
      <w:r w:rsidR="008B2039">
        <w:rPr>
          <w:rFonts w:asciiTheme="majorHAnsi" w:eastAsia="Tw Cen MT" w:hAnsiTheme="majorHAnsi" w:cs="Tw Cen MT"/>
          <w:sz w:val="18"/>
          <w:szCs w:val="18"/>
        </w:rPr>
        <w:t>8)</w:t>
      </w:r>
      <w:r w:rsidRPr="008B2039">
        <w:rPr>
          <w:rFonts w:asciiTheme="majorHAnsi" w:eastAsia="Tw Cen MT" w:hAnsiTheme="majorHAnsi" w:cs="Tw Cen MT"/>
          <w:sz w:val="18"/>
          <w:szCs w:val="18"/>
        </w:rPr>
        <w:t xml:space="preserve">. </w:t>
      </w:r>
      <w:r w:rsidR="008B2039" w:rsidRPr="008B2039">
        <w:rPr>
          <w:rFonts w:asciiTheme="majorHAnsi" w:eastAsia="Tw Cen MT" w:hAnsiTheme="majorHAnsi" w:cs="Tw Cen MT"/>
          <w:sz w:val="18"/>
          <w:szCs w:val="18"/>
        </w:rPr>
        <w:t xml:space="preserve">An </w:t>
      </w:r>
      <w:r w:rsidR="008B2039">
        <w:rPr>
          <w:rFonts w:asciiTheme="majorHAnsi" w:eastAsia="Tw Cen MT" w:hAnsiTheme="majorHAnsi" w:cs="Tw Cen MT"/>
          <w:sz w:val="18"/>
          <w:szCs w:val="18"/>
        </w:rPr>
        <w:t>e</w:t>
      </w:r>
      <w:r w:rsidR="008B2039" w:rsidRPr="008B2039">
        <w:rPr>
          <w:rFonts w:asciiTheme="majorHAnsi" w:eastAsia="Tw Cen MT" w:hAnsiTheme="majorHAnsi" w:cs="Tw Cen MT"/>
          <w:sz w:val="18"/>
          <w:szCs w:val="18"/>
        </w:rPr>
        <w:t xml:space="preserve">conomic </w:t>
      </w:r>
      <w:r w:rsidR="008B2039">
        <w:rPr>
          <w:rFonts w:asciiTheme="majorHAnsi" w:eastAsia="Tw Cen MT" w:hAnsiTheme="majorHAnsi" w:cs="Tw Cen MT"/>
          <w:sz w:val="18"/>
          <w:szCs w:val="18"/>
        </w:rPr>
        <w:t>e</w:t>
      </w:r>
      <w:r w:rsidR="008B2039" w:rsidRPr="008B2039">
        <w:rPr>
          <w:rFonts w:asciiTheme="majorHAnsi" w:eastAsia="Tw Cen MT" w:hAnsiTheme="majorHAnsi" w:cs="Tw Cen MT"/>
          <w:sz w:val="18"/>
          <w:szCs w:val="18"/>
        </w:rPr>
        <w:t xml:space="preserve">valuation of the </w:t>
      </w:r>
      <w:r w:rsidR="008B2039">
        <w:rPr>
          <w:rFonts w:asciiTheme="majorHAnsi" w:eastAsia="Tw Cen MT" w:hAnsiTheme="majorHAnsi" w:cs="Tw Cen MT"/>
          <w:sz w:val="18"/>
          <w:szCs w:val="18"/>
        </w:rPr>
        <w:t>i</w:t>
      </w:r>
      <w:r w:rsidR="008B2039" w:rsidRPr="008B2039">
        <w:rPr>
          <w:rFonts w:asciiTheme="majorHAnsi" w:eastAsia="Tw Cen MT" w:hAnsiTheme="majorHAnsi" w:cs="Tw Cen MT"/>
          <w:sz w:val="18"/>
          <w:szCs w:val="18"/>
        </w:rPr>
        <w:t xml:space="preserve">mpact, </w:t>
      </w:r>
      <w:r w:rsidR="008B2039">
        <w:rPr>
          <w:rFonts w:asciiTheme="majorHAnsi" w:eastAsia="Tw Cen MT" w:hAnsiTheme="majorHAnsi" w:cs="Tw Cen MT"/>
          <w:sz w:val="18"/>
          <w:szCs w:val="18"/>
        </w:rPr>
        <w:t>c</w:t>
      </w:r>
      <w:r w:rsidR="008B2039" w:rsidRPr="008B2039">
        <w:rPr>
          <w:rFonts w:asciiTheme="majorHAnsi" w:eastAsia="Tw Cen MT" w:hAnsiTheme="majorHAnsi" w:cs="Tw Cen MT"/>
          <w:sz w:val="18"/>
          <w:szCs w:val="18"/>
        </w:rPr>
        <w:t xml:space="preserve">ost, and Medicare </w:t>
      </w:r>
      <w:r w:rsidR="008B2039">
        <w:rPr>
          <w:rFonts w:asciiTheme="majorHAnsi" w:eastAsia="Tw Cen MT" w:hAnsiTheme="majorHAnsi" w:cs="Tw Cen MT"/>
          <w:sz w:val="18"/>
          <w:szCs w:val="18"/>
        </w:rPr>
        <w:t>p</w:t>
      </w:r>
      <w:r w:rsidR="008B2039" w:rsidRPr="008B2039">
        <w:rPr>
          <w:rFonts w:asciiTheme="majorHAnsi" w:eastAsia="Tw Cen MT" w:hAnsiTheme="majorHAnsi" w:cs="Tw Cen MT"/>
          <w:sz w:val="18"/>
          <w:szCs w:val="18"/>
        </w:rPr>
        <w:t xml:space="preserve">olicy </w:t>
      </w:r>
      <w:r w:rsidR="008B2039">
        <w:rPr>
          <w:rFonts w:asciiTheme="majorHAnsi" w:eastAsia="Tw Cen MT" w:hAnsiTheme="majorHAnsi" w:cs="Tw Cen MT"/>
          <w:sz w:val="18"/>
          <w:szCs w:val="18"/>
        </w:rPr>
        <w:t>i</w:t>
      </w:r>
      <w:r w:rsidR="008B2039" w:rsidRPr="008B2039">
        <w:rPr>
          <w:rFonts w:asciiTheme="majorHAnsi" w:eastAsia="Tw Cen MT" w:hAnsiTheme="majorHAnsi" w:cs="Tw Cen MT"/>
          <w:sz w:val="18"/>
          <w:szCs w:val="18"/>
        </w:rPr>
        <w:t xml:space="preserve">mplications of </w:t>
      </w:r>
      <w:r w:rsidR="008B2039">
        <w:rPr>
          <w:rFonts w:asciiTheme="majorHAnsi" w:eastAsia="Tw Cen MT" w:hAnsiTheme="majorHAnsi" w:cs="Tw Cen MT"/>
          <w:sz w:val="18"/>
          <w:szCs w:val="18"/>
        </w:rPr>
        <w:t>c</w:t>
      </w:r>
      <w:r w:rsidR="008B2039" w:rsidRPr="008B2039">
        <w:rPr>
          <w:rFonts w:asciiTheme="majorHAnsi" w:eastAsia="Tw Cen MT" w:hAnsiTheme="majorHAnsi" w:cs="Tw Cen MT"/>
          <w:sz w:val="18"/>
          <w:szCs w:val="18"/>
        </w:rPr>
        <w:t xml:space="preserve">hronic </w:t>
      </w:r>
      <w:r w:rsidR="008B2039">
        <w:rPr>
          <w:rFonts w:asciiTheme="majorHAnsi" w:eastAsia="Tw Cen MT" w:hAnsiTheme="majorHAnsi" w:cs="Tw Cen MT"/>
          <w:sz w:val="18"/>
          <w:szCs w:val="18"/>
        </w:rPr>
        <w:t>n</w:t>
      </w:r>
      <w:r w:rsidR="008B2039" w:rsidRPr="008B2039">
        <w:rPr>
          <w:rFonts w:asciiTheme="majorHAnsi" w:eastAsia="Tw Cen MT" w:hAnsiTheme="majorHAnsi" w:cs="Tw Cen MT"/>
          <w:sz w:val="18"/>
          <w:szCs w:val="18"/>
        </w:rPr>
        <w:t>onhealing </w:t>
      </w:r>
      <w:r w:rsidR="008B2039">
        <w:rPr>
          <w:rFonts w:asciiTheme="majorHAnsi" w:eastAsia="Tw Cen MT" w:hAnsiTheme="majorHAnsi" w:cs="Tw Cen MT"/>
          <w:sz w:val="18"/>
          <w:szCs w:val="18"/>
        </w:rPr>
        <w:t>w</w:t>
      </w:r>
      <w:r w:rsidR="008B2039" w:rsidRPr="008B2039">
        <w:rPr>
          <w:rFonts w:asciiTheme="majorHAnsi" w:eastAsia="Tw Cen MT" w:hAnsiTheme="majorHAnsi" w:cs="Tw Cen MT"/>
          <w:sz w:val="18"/>
          <w:szCs w:val="18"/>
        </w:rPr>
        <w:t>ounds. Value Health</w:t>
      </w:r>
      <w:r w:rsidR="008B2039">
        <w:rPr>
          <w:rFonts w:asciiTheme="majorHAnsi" w:eastAsia="Tw Cen MT" w:hAnsiTheme="majorHAnsi" w:cs="Tw Cen MT"/>
          <w:sz w:val="18"/>
          <w:szCs w:val="18"/>
        </w:rPr>
        <w:t xml:space="preserve"> </w:t>
      </w:r>
      <w:r w:rsidR="008B2039" w:rsidRPr="008B2039">
        <w:rPr>
          <w:rFonts w:asciiTheme="majorHAnsi" w:eastAsia="Tw Cen MT" w:hAnsiTheme="majorHAnsi" w:cs="Tw Cen MT"/>
          <w:sz w:val="18"/>
          <w:szCs w:val="18"/>
        </w:rPr>
        <w:t>21:27-32</w:t>
      </w:r>
      <w:r w:rsidR="008B2039">
        <w:rPr>
          <w:rFonts w:asciiTheme="majorHAnsi" w:eastAsia="Tw Cen MT" w:hAnsiTheme="majorHAnsi" w:cs="Tw Cen MT"/>
          <w:sz w:val="18"/>
          <w:szCs w:val="18"/>
        </w:rPr>
        <w:t>.</w:t>
      </w:r>
    </w:p>
    <w:p w14:paraId="3CB2D5FE" w14:textId="3DA4A932" w:rsidR="008B2039" w:rsidRPr="008B2039" w:rsidRDefault="009F76B8" w:rsidP="008B2039">
      <w:pPr>
        <w:pStyle w:val="ListParagraph"/>
        <w:numPr>
          <w:ilvl w:val="0"/>
          <w:numId w:val="3"/>
        </w:numPr>
        <w:tabs>
          <w:tab w:val="left" w:pos="384"/>
        </w:tabs>
        <w:spacing w:line="216" w:lineRule="exact"/>
        <w:ind w:right="137" w:hanging="283"/>
        <w:jc w:val="left"/>
        <w:rPr>
          <w:rFonts w:asciiTheme="majorHAnsi" w:eastAsia="Tw Cen MT" w:hAnsiTheme="majorHAnsi" w:cs="Tw Cen MT"/>
          <w:sz w:val="18"/>
          <w:szCs w:val="18"/>
        </w:rPr>
      </w:pPr>
      <w:r>
        <w:rPr>
          <w:rFonts w:asciiTheme="majorHAnsi" w:eastAsia="Tw Cen MT" w:hAnsiTheme="majorHAnsi" w:cs="Tw Cen MT"/>
          <w:sz w:val="18"/>
          <w:szCs w:val="18"/>
        </w:rPr>
        <w:t>Carter MJ (2014)</w:t>
      </w:r>
      <w:r w:rsidR="00BE7738" w:rsidRPr="00BE7738">
        <w:rPr>
          <w:rFonts w:asciiTheme="majorHAnsi" w:eastAsia="Tw Cen MT" w:hAnsiTheme="majorHAnsi" w:cs="Tw Cen MT"/>
          <w:sz w:val="18"/>
          <w:szCs w:val="18"/>
        </w:rPr>
        <w:t>.</w:t>
      </w:r>
      <w:r w:rsidRPr="009F76B8">
        <w:rPr>
          <w:rFonts w:asciiTheme="majorHAnsi" w:eastAsia="Tw Cen MT" w:hAnsiTheme="majorHAnsi" w:cs="Tw Cen MT"/>
          <w:sz w:val="18"/>
          <w:szCs w:val="18"/>
        </w:rPr>
        <w:t xml:space="preserve"> Economic evaluations of guideline-based or strategic interventions for the prevention or treatment of chronic wounds. Appl Health Econ Health Policy</w:t>
      </w:r>
      <w:r>
        <w:rPr>
          <w:rFonts w:asciiTheme="majorHAnsi" w:eastAsia="Tw Cen MT" w:hAnsiTheme="majorHAnsi" w:cs="Tw Cen MT"/>
          <w:sz w:val="18"/>
          <w:szCs w:val="18"/>
        </w:rPr>
        <w:t xml:space="preserve"> 1</w:t>
      </w:r>
      <w:r w:rsidRPr="009F76B8">
        <w:rPr>
          <w:rFonts w:asciiTheme="majorHAnsi" w:eastAsia="Tw Cen MT" w:hAnsiTheme="majorHAnsi" w:cs="Tw Cen MT"/>
          <w:sz w:val="18"/>
          <w:szCs w:val="18"/>
        </w:rPr>
        <w:t>2:373-89.</w:t>
      </w:r>
    </w:p>
    <w:p w14:paraId="7B223052" w14:textId="13EA700E" w:rsidR="008B2039" w:rsidRPr="008B2039" w:rsidRDefault="008B2039" w:rsidP="008B2039">
      <w:pPr>
        <w:pStyle w:val="ListParagraph"/>
        <w:numPr>
          <w:ilvl w:val="0"/>
          <w:numId w:val="3"/>
        </w:numPr>
        <w:tabs>
          <w:tab w:val="left" w:pos="384"/>
        </w:tabs>
        <w:spacing w:line="216" w:lineRule="exact"/>
        <w:ind w:right="138" w:hanging="283"/>
        <w:jc w:val="left"/>
        <w:rPr>
          <w:rFonts w:asciiTheme="majorHAnsi" w:eastAsia="Tw Cen MT" w:hAnsiTheme="majorHAnsi" w:cs="Tw Cen MT"/>
          <w:sz w:val="18"/>
          <w:szCs w:val="18"/>
        </w:rPr>
      </w:pPr>
      <w:r w:rsidRPr="008B2039">
        <w:rPr>
          <w:rFonts w:asciiTheme="majorHAnsi" w:eastAsia="Tw Cen MT" w:hAnsiTheme="majorHAnsi" w:cs="Tw Cen MT"/>
          <w:sz w:val="18"/>
          <w:szCs w:val="18"/>
        </w:rPr>
        <w:t>Carter MJ (</w:t>
      </w:r>
      <w:r>
        <w:rPr>
          <w:rFonts w:asciiTheme="majorHAnsi" w:eastAsia="Tw Cen MT" w:hAnsiTheme="majorHAnsi" w:cs="Tw Cen MT"/>
          <w:sz w:val="18"/>
          <w:szCs w:val="18"/>
        </w:rPr>
        <w:t>2013</w:t>
      </w:r>
      <w:r w:rsidRPr="008B2039">
        <w:rPr>
          <w:rFonts w:asciiTheme="majorHAnsi" w:eastAsia="Tw Cen MT" w:hAnsiTheme="majorHAnsi" w:cs="Tw Cen MT"/>
          <w:sz w:val="18"/>
          <w:szCs w:val="18"/>
        </w:rPr>
        <w:t xml:space="preserve">). Health </w:t>
      </w:r>
      <w:r>
        <w:rPr>
          <w:rFonts w:asciiTheme="majorHAnsi" w:eastAsia="Tw Cen MT" w:hAnsiTheme="majorHAnsi" w:cs="Tw Cen MT"/>
          <w:sz w:val="18"/>
          <w:szCs w:val="18"/>
        </w:rPr>
        <w:t>e</w:t>
      </w:r>
      <w:r w:rsidRPr="008B2039">
        <w:rPr>
          <w:rFonts w:asciiTheme="majorHAnsi" w:eastAsia="Tw Cen MT" w:hAnsiTheme="majorHAnsi" w:cs="Tw Cen MT"/>
          <w:sz w:val="18"/>
          <w:szCs w:val="18"/>
        </w:rPr>
        <w:t xml:space="preserve">conomics </w:t>
      </w:r>
      <w:r>
        <w:rPr>
          <w:rFonts w:asciiTheme="majorHAnsi" w:eastAsia="Tw Cen MT" w:hAnsiTheme="majorHAnsi" w:cs="Tw Cen MT"/>
          <w:sz w:val="18"/>
          <w:szCs w:val="18"/>
        </w:rPr>
        <w:t>i</w:t>
      </w:r>
      <w:r w:rsidRPr="008B2039">
        <w:rPr>
          <w:rFonts w:asciiTheme="majorHAnsi" w:eastAsia="Tw Cen MT" w:hAnsiTheme="majorHAnsi" w:cs="Tw Cen MT"/>
          <w:sz w:val="18"/>
          <w:szCs w:val="18"/>
        </w:rPr>
        <w:t>nformation</w:t>
      </w:r>
      <w:r>
        <w:rPr>
          <w:rFonts w:asciiTheme="majorHAnsi" w:eastAsia="Tw Cen MT" w:hAnsiTheme="majorHAnsi" w:cs="Tw Cen MT"/>
          <w:sz w:val="18"/>
          <w:szCs w:val="18"/>
        </w:rPr>
        <w:t xml:space="preserve"> in wound care</w:t>
      </w:r>
      <w:r w:rsidRPr="008B2039">
        <w:rPr>
          <w:rFonts w:asciiTheme="majorHAnsi" w:eastAsia="Tw Cen MT" w:hAnsiTheme="majorHAnsi" w:cs="Tw Cen MT"/>
          <w:sz w:val="18"/>
          <w:szCs w:val="18"/>
        </w:rPr>
        <w:t xml:space="preserve">: The </w:t>
      </w:r>
      <w:r>
        <w:rPr>
          <w:rFonts w:asciiTheme="majorHAnsi" w:eastAsia="Tw Cen MT" w:hAnsiTheme="majorHAnsi" w:cs="Tw Cen MT"/>
          <w:sz w:val="18"/>
          <w:szCs w:val="18"/>
        </w:rPr>
        <w:t>e</w:t>
      </w:r>
      <w:r w:rsidRPr="008B2039">
        <w:rPr>
          <w:rFonts w:asciiTheme="majorHAnsi" w:eastAsia="Tw Cen MT" w:hAnsiTheme="majorHAnsi" w:cs="Tw Cen MT"/>
          <w:sz w:val="18"/>
          <w:szCs w:val="18"/>
        </w:rPr>
        <w:t xml:space="preserve">lephant in the </w:t>
      </w:r>
      <w:r>
        <w:rPr>
          <w:rFonts w:asciiTheme="majorHAnsi" w:eastAsia="Tw Cen MT" w:hAnsiTheme="majorHAnsi" w:cs="Tw Cen MT"/>
          <w:sz w:val="18"/>
          <w:szCs w:val="18"/>
        </w:rPr>
        <w:t>r</w:t>
      </w:r>
      <w:r w:rsidRPr="008B2039">
        <w:rPr>
          <w:rFonts w:asciiTheme="majorHAnsi" w:eastAsia="Tw Cen MT" w:hAnsiTheme="majorHAnsi" w:cs="Tw Cen MT"/>
          <w:sz w:val="18"/>
          <w:szCs w:val="18"/>
        </w:rPr>
        <w:t>oom. Adv Wound Care (New Rochelle)</w:t>
      </w:r>
      <w:r>
        <w:rPr>
          <w:rFonts w:asciiTheme="majorHAnsi" w:eastAsia="Tw Cen MT" w:hAnsiTheme="majorHAnsi" w:cs="Tw Cen MT"/>
          <w:sz w:val="18"/>
          <w:szCs w:val="18"/>
        </w:rPr>
        <w:t xml:space="preserve"> </w:t>
      </w:r>
      <w:r w:rsidRPr="008B2039">
        <w:rPr>
          <w:rFonts w:asciiTheme="majorHAnsi" w:eastAsia="Tw Cen MT" w:hAnsiTheme="majorHAnsi" w:cs="Tw Cen MT"/>
          <w:sz w:val="18"/>
          <w:szCs w:val="18"/>
        </w:rPr>
        <w:t>2:563-570.</w:t>
      </w:r>
    </w:p>
    <w:p w14:paraId="368C36CA" w14:textId="5291170A" w:rsidR="00AE3E37" w:rsidRPr="000D6982" w:rsidRDefault="005973B9" w:rsidP="00BE7738">
      <w:pPr>
        <w:pStyle w:val="BodyText"/>
        <w:spacing w:before="85" w:line="216" w:lineRule="exact"/>
        <w:ind w:left="383" w:right="138" w:hanging="284"/>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5. </w:t>
      </w:r>
      <w:r w:rsidR="00C56D2B">
        <w:rPr>
          <w:rFonts w:asciiTheme="majorHAnsi" w:hAnsiTheme="majorHAnsi"/>
        </w:rPr>
        <w:tab/>
      </w:r>
      <w:r w:rsidR="00C56D2B" w:rsidRPr="00C56D2B">
        <w:rPr>
          <w:rFonts w:asciiTheme="majorHAnsi" w:hAnsiTheme="majorHAnsi"/>
        </w:rPr>
        <w:t>Carter MJ, Fife CE, Walker D, Thomson B.</w:t>
      </w:r>
      <w:r w:rsidR="00C56D2B">
        <w:rPr>
          <w:rFonts w:asciiTheme="majorHAnsi" w:hAnsiTheme="majorHAnsi"/>
        </w:rPr>
        <w:t xml:space="preserve"> (2</w:t>
      </w:r>
      <w:r w:rsidRPr="000D6982">
        <w:rPr>
          <w:rFonts w:asciiTheme="majorHAnsi" w:hAnsiTheme="majorHAnsi"/>
        </w:rPr>
        <w:t>00</w:t>
      </w:r>
      <w:r w:rsidR="00C56D2B">
        <w:rPr>
          <w:rFonts w:asciiTheme="majorHAnsi" w:hAnsiTheme="majorHAnsi"/>
        </w:rPr>
        <w:t>9</w:t>
      </w:r>
      <w:r w:rsidRPr="000D6982">
        <w:rPr>
          <w:rFonts w:asciiTheme="majorHAnsi" w:hAnsiTheme="majorHAnsi"/>
        </w:rPr>
        <w:t>)</w:t>
      </w:r>
      <w:r w:rsidRPr="000D6982">
        <w:rPr>
          <w:rFonts w:asciiTheme="majorHAnsi" w:hAnsiTheme="majorHAnsi"/>
          <w:spacing w:val="-4"/>
        </w:rPr>
        <w:t xml:space="preserve">. </w:t>
      </w:r>
      <w:r w:rsidR="00C56D2B" w:rsidRPr="00C56D2B">
        <w:rPr>
          <w:rFonts w:asciiTheme="majorHAnsi" w:hAnsiTheme="majorHAnsi"/>
        </w:rPr>
        <w:t>Estimating the applicability of wound care randomized controlled trials to general wound-care populations by estimating the percentage of individuals excluded from a typical wound-care population in such trials.</w:t>
      </w:r>
      <w:r w:rsidR="00C56D2B">
        <w:rPr>
          <w:rFonts w:asciiTheme="majorHAnsi" w:hAnsiTheme="majorHAnsi"/>
        </w:rPr>
        <w:t xml:space="preserve"> </w:t>
      </w:r>
      <w:r w:rsidR="00C56D2B" w:rsidRPr="00C56D2B">
        <w:rPr>
          <w:rFonts w:asciiTheme="majorHAnsi" w:hAnsiTheme="majorHAnsi"/>
        </w:rPr>
        <w:t>Adv Skin Wound Car</w:t>
      </w:r>
      <w:r w:rsidR="00C56D2B">
        <w:rPr>
          <w:rFonts w:asciiTheme="majorHAnsi" w:hAnsiTheme="majorHAnsi"/>
          <w:spacing w:val="-4"/>
        </w:rPr>
        <w:t xml:space="preserve">e </w:t>
      </w:r>
      <w:r w:rsidRPr="000D6982">
        <w:rPr>
          <w:rFonts w:asciiTheme="majorHAnsi" w:hAnsiTheme="majorHAnsi"/>
        </w:rPr>
        <w:t>2</w:t>
      </w:r>
      <w:r w:rsidR="00C56D2B">
        <w:rPr>
          <w:rFonts w:asciiTheme="majorHAnsi" w:hAnsiTheme="majorHAnsi"/>
        </w:rPr>
        <w:t>2: 316-324.</w:t>
      </w:r>
      <w:r w:rsidR="008756E6" w:rsidRPr="000D6982">
        <w:rPr>
          <w:rFonts w:asciiTheme="majorHAnsi" w:hAnsiTheme="majorHAnsi"/>
        </w:rPr>
        <w:t xml:space="preserve"> </w:t>
      </w:r>
    </w:p>
    <w:p w14:paraId="3C1EBAAD" w14:textId="77777777" w:rsidR="00AE3E37" w:rsidRPr="000D6982" w:rsidRDefault="00AE3E37">
      <w:pPr>
        <w:pStyle w:val="BodyText"/>
        <w:rPr>
          <w:rFonts w:asciiTheme="majorHAnsi" w:hAnsiTheme="majorHAnsi"/>
          <w:sz w:val="20"/>
        </w:rPr>
      </w:pPr>
    </w:p>
    <w:p w14:paraId="01EC49C8" w14:textId="77777777"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52C20B64" wp14:editId="793BEB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05AC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D72358" w14:textId="5AFBA52E" w:rsidR="00AE3E37" w:rsidRDefault="00A9710C" w:rsidP="00404E5B">
      <w:pPr>
        <w:spacing w:before="92"/>
        <w:ind w:right="4234"/>
        <w:rPr>
          <w:rFonts w:asciiTheme="majorHAnsi" w:hAnsiTheme="majorHAnsi"/>
          <w:color w:val="BF5A14"/>
          <w:sz w:val="18"/>
          <w:szCs w:val="18"/>
        </w:rPr>
      </w:pPr>
      <w:r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w:t>
      </w:r>
      <w:proofErr w:type="gramStart"/>
      <w:r w:rsidR="00404E5B" w:rsidRPr="00041A28">
        <w:rPr>
          <w:rFonts w:asciiTheme="majorHAnsi" w:hAnsiTheme="majorHAnsi"/>
          <w:color w:val="BF5A14"/>
          <w:sz w:val="18"/>
          <w:szCs w:val="18"/>
        </w:rPr>
        <w:t>150 word</w:t>
      </w:r>
      <w:proofErr w:type="gramEnd"/>
      <w:r w:rsidR="00404E5B" w:rsidRPr="00041A28">
        <w:rPr>
          <w:rFonts w:asciiTheme="majorHAnsi" w:hAnsiTheme="majorHAnsi"/>
          <w:color w:val="BF5A14"/>
          <w:sz w:val="18"/>
          <w:szCs w:val="18"/>
        </w:rPr>
        <w:t xml:space="preserve"> limit)</w:t>
      </w:r>
    </w:p>
    <w:p w14:paraId="1186C920" w14:textId="54896ADE" w:rsidR="00241759" w:rsidRPr="00241759" w:rsidRDefault="00241759" w:rsidP="00241759">
      <w:pPr>
        <w:autoSpaceDE w:val="0"/>
        <w:autoSpaceDN w:val="0"/>
        <w:adjustRightInd w:val="0"/>
        <w:rPr>
          <w:rFonts w:asciiTheme="majorHAnsi" w:hAnsiTheme="majorHAnsi"/>
          <w:sz w:val="18"/>
          <w:szCs w:val="18"/>
        </w:rPr>
      </w:pPr>
      <w:r>
        <w:rPr>
          <w:rFonts w:asciiTheme="majorHAnsi" w:hAnsiTheme="majorHAnsi"/>
          <w:noProof/>
          <w:sz w:val="18"/>
          <w:szCs w:val="18"/>
        </w:rPr>
        <w:drawing>
          <wp:anchor distT="0" distB="0" distL="114300" distR="114300" simplePos="0" relativeHeight="251659264" behindDoc="0" locked="0" layoutInCell="1" allowOverlap="1" wp14:anchorId="7706797D" wp14:editId="587AA44A">
            <wp:simplePos x="0" y="0"/>
            <wp:positionH relativeFrom="column">
              <wp:posOffset>-3175</wp:posOffset>
            </wp:positionH>
            <wp:positionV relativeFrom="paragraph">
              <wp:posOffset>-1270</wp:posOffset>
            </wp:positionV>
            <wp:extent cx="521208" cy="731520"/>
            <wp:effectExtent l="0" t="0" r="0" b="0"/>
            <wp:wrapThrough wrapText="bothSides">
              <wp:wrapPolygon edited="0">
                <wp:start x="0" y="0"/>
                <wp:lineTo x="0" y="20813"/>
                <wp:lineTo x="20546" y="20813"/>
                <wp:lineTo x="20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JC July 20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208" cy="73152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18"/>
          <w:szCs w:val="18"/>
        </w:rPr>
        <w:t xml:space="preserve">Dr. </w:t>
      </w:r>
      <w:r w:rsidRPr="00241759">
        <w:rPr>
          <w:rFonts w:asciiTheme="majorHAnsi" w:hAnsiTheme="majorHAnsi"/>
          <w:sz w:val="18"/>
          <w:szCs w:val="18"/>
        </w:rPr>
        <w:t>Marissa Carter is the President of Strategic Solutions, Inc., and has an extremely broad science background, which includes work in several medical fields, as well as physical and</w:t>
      </w:r>
      <w:r>
        <w:rPr>
          <w:rFonts w:asciiTheme="majorHAnsi" w:hAnsiTheme="majorHAnsi"/>
          <w:sz w:val="18"/>
          <w:szCs w:val="18"/>
        </w:rPr>
        <w:t xml:space="preserve"> </w:t>
      </w:r>
      <w:r w:rsidRPr="00241759">
        <w:rPr>
          <w:rFonts w:asciiTheme="majorHAnsi" w:hAnsiTheme="majorHAnsi"/>
          <w:sz w:val="18"/>
          <w:szCs w:val="18"/>
        </w:rPr>
        <w:t>engineering disciplines. Her expertise includes health economics modeling, evidence-based medicine, biostatistics, and clinical trial design and analysis. Although she works mostly in wound care research, Dr Carter has also worked in epidemiology, ophthalmology, orthopedics, neurology, and psychology. Dr. Carter holds an MA in biochemistry from Oxford University and a PhD in chemistry from Brandeis University. She is the author or coauthor of over 100 peer-reviewed articles and book chapters in medicine and her studies have won several awards.</w:t>
      </w:r>
    </w:p>
    <w:p w14:paraId="4DD235B1" w14:textId="77777777" w:rsidR="00AE3E37" w:rsidRPr="000D6982" w:rsidRDefault="00AE3E37">
      <w:pPr>
        <w:pStyle w:val="BodyText"/>
        <w:rPr>
          <w:rFonts w:asciiTheme="majorHAnsi" w:hAnsiTheme="majorHAnsi"/>
          <w:sz w:val="20"/>
        </w:rPr>
      </w:pPr>
    </w:p>
    <w:p w14:paraId="14629441" w14:textId="72641A20"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241759">
        <w:rPr>
          <w:rFonts w:asciiTheme="majorHAnsi" w:hAnsiTheme="majorHAnsi"/>
          <w:sz w:val="18"/>
          <w:szCs w:val="18"/>
        </w:rPr>
        <w:t>cost</w:t>
      </w:r>
      <w:r w:rsidRPr="00041A28">
        <w:rPr>
          <w:rFonts w:asciiTheme="majorHAnsi" w:hAnsiTheme="majorHAnsi"/>
          <w:sz w:val="18"/>
          <w:szCs w:val="18"/>
        </w:rPr>
        <w:t xml:space="preserve">, </w:t>
      </w:r>
      <w:r w:rsidR="00241759">
        <w:rPr>
          <w:rFonts w:asciiTheme="majorHAnsi" w:hAnsiTheme="majorHAnsi"/>
          <w:sz w:val="18"/>
          <w:szCs w:val="18"/>
        </w:rPr>
        <w:t>health economics, wound care, advanced therapeutics, evidence-based medicine; FDA–approved endpoints</w:t>
      </w:r>
      <w:r w:rsidRPr="00041A28">
        <w:rPr>
          <w:rFonts w:asciiTheme="majorHAnsi" w:hAnsiTheme="majorHAnsi"/>
          <w:sz w:val="18"/>
          <w:szCs w:val="18"/>
        </w:rPr>
        <w:t>.</w:t>
      </w:r>
    </w:p>
    <w:p w14:paraId="24DE49FF" w14:textId="77777777" w:rsidR="000D6982" w:rsidRPr="00041A28" w:rsidRDefault="000D6982" w:rsidP="000D6982">
      <w:pPr>
        <w:pStyle w:val="Paragraph"/>
        <w:tabs>
          <w:tab w:val="left" w:pos="2520"/>
        </w:tabs>
        <w:ind w:firstLine="0"/>
        <w:jc w:val="both"/>
        <w:rPr>
          <w:rFonts w:asciiTheme="majorHAnsi" w:hAnsiTheme="majorHAnsi"/>
          <w:b/>
          <w:bCs/>
          <w:sz w:val="18"/>
          <w:szCs w:val="18"/>
        </w:rPr>
      </w:pPr>
    </w:p>
    <w:p w14:paraId="7EC980F1" w14:textId="708E31FB"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00997572">
        <w:rPr>
          <w:rFonts w:asciiTheme="majorHAnsi" w:hAnsiTheme="majorHAnsi"/>
          <w:b/>
          <w:bCs/>
          <w:sz w:val="18"/>
          <w:szCs w:val="18"/>
        </w:rPr>
        <w:t xml:space="preserve"> </w:t>
      </w:r>
      <w:r w:rsidR="00997572" w:rsidRPr="00997572">
        <w:rPr>
          <w:rFonts w:asciiTheme="majorHAnsi" w:hAnsiTheme="majorHAnsi"/>
          <w:bCs/>
          <w:sz w:val="18"/>
          <w:szCs w:val="18"/>
        </w:rPr>
        <w:t>O</w:t>
      </w:r>
      <w:r w:rsidRPr="00041A28">
        <w:rPr>
          <w:rFonts w:asciiTheme="majorHAnsi" w:hAnsiTheme="majorHAnsi"/>
          <w:bCs/>
          <w:sz w:val="18"/>
          <w:szCs w:val="18"/>
        </w:rPr>
        <w:t>ral</w:t>
      </w:r>
    </w:p>
    <w:p w14:paraId="13649E6E" w14:textId="77777777" w:rsidR="000D6982" w:rsidRPr="00041A28" w:rsidRDefault="000D6982" w:rsidP="000D6982">
      <w:pPr>
        <w:pStyle w:val="Paragraph"/>
        <w:tabs>
          <w:tab w:val="left" w:pos="2520"/>
        </w:tabs>
        <w:ind w:firstLine="0"/>
        <w:jc w:val="both"/>
        <w:rPr>
          <w:rFonts w:asciiTheme="majorHAnsi" w:hAnsiTheme="majorHAnsi"/>
          <w:bCs/>
          <w:sz w:val="18"/>
          <w:szCs w:val="18"/>
        </w:rPr>
      </w:pPr>
    </w:p>
    <w:p w14:paraId="161EA5A0" w14:textId="4515AD4D" w:rsidR="000D6982" w:rsidRPr="004D1A77"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w:t>
      </w:r>
      <w:r w:rsidR="00997572">
        <w:rPr>
          <w:rFonts w:asciiTheme="majorHAnsi" w:hAnsiTheme="majorHAnsi"/>
          <w:b/>
          <w:bCs/>
          <w:sz w:val="18"/>
          <w:szCs w:val="18"/>
        </w:rPr>
        <w:t xml:space="preserve"> </w:t>
      </w:r>
      <w:r w:rsidR="00997572" w:rsidRPr="004D1A77">
        <w:rPr>
          <w:rFonts w:asciiTheme="majorHAnsi" w:hAnsiTheme="majorHAnsi"/>
          <w:bCs/>
          <w:sz w:val="18"/>
          <w:szCs w:val="18"/>
        </w:rPr>
        <w:t>Advances in Skin and Wound Care</w:t>
      </w:r>
    </w:p>
    <w:p w14:paraId="30C49F6D" w14:textId="77777777" w:rsidR="000D6982" w:rsidRPr="00041A28" w:rsidRDefault="000D6982" w:rsidP="000D6982">
      <w:pPr>
        <w:pStyle w:val="Paragraph"/>
        <w:tabs>
          <w:tab w:val="left" w:pos="2520"/>
        </w:tabs>
        <w:ind w:firstLine="0"/>
        <w:jc w:val="both"/>
        <w:rPr>
          <w:rFonts w:asciiTheme="majorHAnsi" w:hAnsiTheme="majorHAnsi"/>
          <w:sz w:val="18"/>
          <w:szCs w:val="18"/>
        </w:rPr>
      </w:pPr>
    </w:p>
    <w:p w14:paraId="0224EA33" w14:textId="19C89F8F" w:rsidR="000D6982" w:rsidRPr="004D1A77"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Corresponding Author Details:</w:t>
      </w:r>
      <w:r w:rsidR="004D1A77">
        <w:rPr>
          <w:rFonts w:asciiTheme="majorHAnsi" w:hAnsiTheme="majorHAnsi"/>
          <w:b/>
          <w:bCs/>
          <w:sz w:val="18"/>
          <w:szCs w:val="18"/>
        </w:rPr>
        <w:t xml:space="preserve"> </w:t>
      </w:r>
      <w:r w:rsidR="004D1A77" w:rsidRPr="004D1A77">
        <w:rPr>
          <w:rFonts w:asciiTheme="majorHAnsi" w:hAnsiTheme="majorHAnsi"/>
          <w:bCs/>
          <w:sz w:val="18"/>
          <w:szCs w:val="18"/>
        </w:rPr>
        <w:t>Marissa J. Carter PHD MA</w:t>
      </w:r>
      <w:r w:rsidR="004D1A77">
        <w:rPr>
          <w:rFonts w:asciiTheme="majorHAnsi" w:hAnsiTheme="majorHAnsi"/>
          <w:bCs/>
          <w:sz w:val="18"/>
          <w:szCs w:val="18"/>
        </w:rPr>
        <w:t xml:space="preserve">; </w:t>
      </w:r>
      <w:proofErr w:type="spellStart"/>
      <w:r w:rsidR="004D1A77">
        <w:rPr>
          <w:rFonts w:asciiTheme="majorHAnsi" w:hAnsiTheme="majorHAnsi"/>
          <w:bCs/>
          <w:sz w:val="18"/>
          <w:szCs w:val="18"/>
        </w:rPr>
        <w:t>tel</w:t>
      </w:r>
      <w:proofErr w:type="spellEnd"/>
      <w:r w:rsidR="004D1A77">
        <w:rPr>
          <w:rFonts w:asciiTheme="majorHAnsi" w:hAnsiTheme="majorHAnsi"/>
          <w:bCs/>
          <w:sz w:val="18"/>
          <w:szCs w:val="18"/>
        </w:rPr>
        <w:t>/fax: (+1) 307-587-5352</w:t>
      </w:r>
    </w:p>
    <w:p w14:paraId="563DC349" w14:textId="330ABB57" w:rsidR="00AE3E37" w:rsidRPr="004D1A77" w:rsidRDefault="004D1A77" w:rsidP="004D1A77">
      <w:pPr>
        <w:pStyle w:val="Paragraph"/>
        <w:tabs>
          <w:tab w:val="left" w:pos="2520"/>
        </w:tabs>
        <w:ind w:firstLine="0"/>
        <w:jc w:val="both"/>
        <w:rPr>
          <w:rFonts w:asciiTheme="majorHAnsi" w:hAnsiTheme="majorHAnsi"/>
          <w:sz w:val="18"/>
          <w:szCs w:val="18"/>
        </w:rPr>
        <w:sectPr w:rsidR="00AE3E37" w:rsidRPr="004D1A77">
          <w:type w:val="continuous"/>
          <w:pgSz w:w="11910" w:h="16840"/>
          <w:pgMar w:top="1740" w:right="600" w:bottom="840" w:left="620" w:header="720" w:footer="720" w:gutter="0"/>
          <w:cols w:space="720"/>
        </w:sectPr>
      </w:pPr>
      <w:r>
        <w:rPr>
          <w:rFonts w:asciiTheme="majorHAnsi" w:hAnsiTheme="majorHAnsi"/>
          <w:sz w:val="18"/>
          <w:szCs w:val="18"/>
        </w:rPr>
        <w:t xml:space="preserve">Strategic Solutions, Inc., 1143 </w:t>
      </w:r>
      <w:proofErr w:type="spellStart"/>
      <w:r>
        <w:rPr>
          <w:rFonts w:asciiTheme="majorHAnsi" w:hAnsiTheme="majorHAnsi"/>
          <w:sz w:val="18"/>
          <w:szCs w:val="18"/>
        </w:rPr>
        <w:t>Salsbury</w:t>
      </w:r>
      <w:proofErr w:type="spellEnd"/>
      <w:r>
        <w:rPr>
          <w:rFonts w:asciiTheme="majorHAnsi" w:hAnsiTheme="majorHAnsi"/>
          <w:sz w:val="18"/>
          <w:szCs w:val="18"/>
        </w:rPr>
        <w:t xml:space="preserve"> Ave, Cody, WY 82414, USA; email: mcarter@strategic-solutions-inc.com</w:t>
      </w:r>
    </w:p>
    <w:p w14:paraId="1A79BC56" w14:textId="6BEACC70"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4032E" w14:textId="77777777" w:rsidR="00C258EA" w:rsidRDefault="00C258EA">
      <w:r>
        <w:separator/>
      </w:r>
    </w:p>
  </w:endnote>
  <w:endnote w:type="continuationSeparator" w:id="0">
    <w:p w14:paraId="65298399" w14:textId="77777777" w:rsidR="00C258EA" w:rsidRDefault="00C25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E1FA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220F9B" wp14:editId="45BD88D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A32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EFBB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338AB81" wp14:editId="00183B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3012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2F292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512E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A3C402" wp14:editId="71A348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5C6E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5EBE8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4C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AFA5C" w14:textId="77777777" w:rsidR="00C258EA" w:rsidRDefault="00C258EA">
      <w:r>
        <w:separator/>
      </w:r>
    </w:p>
  </w:footnote>
  <w:footnote w:type="continuationSeparator" w:id="0">
    <w:p w14:paraId="649119A6" w14:textId="77777777" w:rsidR="00C258EA" w:rsidRDefault="00C25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267D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062BC74" wp14:editId="16E4A36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60BA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1753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C5D8A98" wp14:editId="0B9AE3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BAEB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5AE7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38A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A28"/>
    <w:rsid w:val="000A195E"/>
    <w:rsid w:val="000C56F8"/>
    <w:rsid w:val="000D6982"/>
    <w:rsid w:val="000E2911"/>
    <w:rsid w:val="001263DF"/>
    <w:rsid w:val="0019597C"/>
    <w:rsid w:val="00241759"/>
    <w:rsid w:val="00292ED9"/>
    <w:rsid w:val="00334141"/>
    <w:rsid w:val="003763EF"/>
    <w:rsid w:val="003B4007"/>
    <w:rsid w:val="00404E5B"/>
    <w:rsid w:val="00414F7B"/>
    <w:rsid w:val="004355DC"/>
    <w:rsid w:val="004749B4"/>
    <w:rsid w:val="00494130"/>
    <w:rsid w:val="004D1A77"/>
    <w:rsid w:val="004F3523"/>
    <w:rsid w:val="00503B9D"/>
    <w:rsid w:val="005973B9"/>
    <w:rsid w:val="005B3A56"/>
    <w:rsid w:val="006060CE"/>
    <w:rsid w:val="0063497F"/>
    <w:rsid w:val="00813A65"/>
    <w:rsid w:val="00873DF0"/>
    <w:rsid w:val="008756E6"/>
    <w:rsid w:val="008B005C"/>
    <w:rsid w:val="008B2039"/>
    <w:rsid w:val="009634C7"/>
    <w:rsid w:val="00997572"/>
    <w:rsid w:val="009A428F"/>
    <w:rsid w:val="009B0092"/>
    <w:rsid w:val="009B2D44"/>
    <w:rsid w:val="009E195A"/>
    <w:rsid w:val="009F76B8"/>
    <w:rsid w:val="00A07E82"/>
    <w:rsid w:val="00A9710C"/>
    <w:rsid w:val="00AE3E37"/>
    <w:rsid w:val="00B21A57"/>
    <w:rsid w:val="00B54708"/>
    <w:rsid w:val="00BE7738"/>
    <w:rsid w:val="00C258EA"/>
    <w:rsid w:val="00C33602"/>
    <w:rsid w:val="00C56D2B"/>
    <w:rsid w:val="00C628E4"/>
    <w:rsid w:val="00CC113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FF03F"/>
  <w15:docId w15:val="{A58BA0D0-D861-4306-A130-03521592D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customStyle="1" w:styleId="jrnl">
    <w:name w:val="jrnl"/>
    <w:basedOn w:val="DefaultParagraphFont"/>
    <w:rsid w:val="008B2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Marissa Carter</cp:lastModifiedBy>
  <cp:revision>9</cp:revision>
  <dcterms:created xsi:type="dcterms:W3CDTF">2018-08-01T16:41:00Z</dcterms:created>
  <dcterms:modified xsi:type="dcterms:W3CDTF">2018-08-02T20:13:00Z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