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5</w:t>
      </w:r>
      <w:r w:rsidRPr="000D6982">
        <w:rPr>
          <w:rFonts w:asciiTheme="majorHAnsi" w:hAnsiTheme="majorHAnsi"/>
          <w:vertAlign w:val="superscript"/>
        </w:rPr>
        <w:t xml:space="preserve">th </w:t>
      </w:r>
      <w:r w:rsidRPr="000D6982">
        <w:rPr>
          <w:rFonts w:asciiTheme="majorHAnsi" w:hAnsiTheme="majorHAnsi"/>
        </w:rPr>
        <w:t>International Conference on Advances in Skin, Wound Care and Tissue Science</w:t>
      </w:r>
    </w:p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October 15-16, 2018 Rome, Italy</w:t>
      </w:r>
    </w:p>
    <w:p w:rsidR="00AE3E37" w:rsidRPr="00041A28" w:rsidRDefault="00855699" w:rsidP="00494130">
      <w:pPr>
        <w:pStyle w:val="Heading1"/>
        <w:spacing w:before="17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color w:val="337AB7"/>
          <w:sz w:val="28"/>
          <w:szCs w:val="28"/>
        </w:rPr>
        <w:t xml:space="preserve">Topical Medical Cannabis: A NEW </w:t>
      </w:r>
      <w:r w:rsidR="006D485F">
        <w:rPr>
          <w:rFonts w:asciiTheme="majorHAnsi" w:hAnsiTheme="majorHAnsi"/>
          <w:color w:val="337AB7"/>
          <w:sz w:val="28"/>
          <w:szCs w:val="28"/>
        </w:rPr>
        <w:t>Epigenetic Paradigm for Wound Management</w:t>
      </w:r>
    </w:p>
    <w:p w:rsidR="000D6982" w:rsidRPr="000D6982" w:rsidRDefault="008C4FEE" w:rsidP="000D6982">
      <w:pPr>
        <w:rPr>
          <w:rFonts w:asciiTheme="majorHAnsi" w:hAnsiTheme="majorHAnsi"/>
          <w:vertAlign w:val="superscript"/>
        </w:rPr>
      </w:pPr>
      <w:r>
        <w:rPr>
          <w:rFonts w:asciiTheme="majorHAnsi" w:hAnsiTheme="majorHAnsi"/>
          <w:u w:val="single"/>
        </w:rPr>
        <w:t>Vincent Maida</w:t>
      </w:r>
      <w:r w:rsidR="000D6982" w:rsidRPr="000D6982">
        <w:rPr>
          <w:rFonts w:asciiTheme="majorHAnsi" w:hAnsiTheme="majorHAnsi"/>
          <w:u w:val="single"/>
          <w:vertAlign w:val="superscript"/>
        </w:rPr>
        <w:t>a</w:t>
      </w:r>
      <w:r w:rsidR="006D485F">
        <w:rPr>
          <w:rFonts w:asciiTheme="majorHAnsi" w:hAnsiTheme="majorHAnsi"/>
        </w:rPr>
        <w:t>,</w:t>
      </w:r>
      <w:r w:rsidR="006D485F" w:rsidRPr="004953B1">
        <w:rPr>
          <w:rFonts w:asciiTheme="majorHAnsi" w:hAnsiTheme="majorHAnsi"/>
          <w:vertAlign w:val="superscript"/>
        </w:rPr>
        <w:t>b,</w:t>
      </w:r>
      <w:r w:rsidR="000D6982" w:rsidRPr="000D6982">
        <w:rPr>
          <w:rFonts w:asciiTheme="majorHAnsi" w:hAnsiTheme="majorHAnsi"/>
        </w:rPr>
        <w:t xml:space="preserve"> </w:t>
      </w:r>
      <w:r w:rsidR="004953B1">
        <w:rPr>
          <w:rFonts w:asciiTheme="majorHAnsi" w:hAnsiTheme="majorHAnsi"/>
        </w:rPr>
        <w:t>Runji Bill Shi</w:t>
      </w:r>
      <w:r w:rsidR="004953B1" w:rsidRPr="004953B1">
        <w:rPr>
          <w:rFonts w:asciiTheme="majorHAnsi" w:hAnsiTheme="majorHAnsi"/>
          <w:vertAlign w:val="superscript"/>
        </w:rPr>
        <w:t>b</w:t>
      </w:r>
      <w:r w:rsidR="004953B1">
        <w:rPr>
          <w:rFonts w:asciiTheme="majorHAnsi" w:hAnsiTheme="majorHAnsi"/>
        </w:rPr>
        <w:t>,  Jimmy Qui</w:t>
      </w:r>
      <w:r w:rsidR="004953B1" w:rsidRPr="004953B1">
        <w:rPr>
          <w:rFonts w:asciiTheme="majorHAnsi" w:hAnsiTheme="majorHAnsi"/>
          <w:vertAlign w:val="superscript"/>
        </w:rPr>
        <w:t>b</w:t>
      </w:r>
      <w:r w:rsidR="004953B1">
        <w:rPr>
          <w:rFonts w:asciiTheme="majorHAnsi" w:hAnsiTheme="majorHAnsi"/>
        </w:rPr>
        <w:t>,</w:t>
      </w:r>
      <w:r w:rsidR="006D485F">
        <w:rPr>
          <w:rFonts w:asciiTheme="majorHAnsi" w:hAnsiTheme="majorHAnsi"/>
        </w:rPr>
        <w:t xml:space="preserve"> Jason Corba</w:t>
      </w:r>
      <w:r w:rsidR="004953B1">
        <w:rPr>
          <w:rFonts w:asciiTheme="majorHAnsi" w:hAnsiTheme="majorHAnsi"/>
        </w:rPr>
        <w:t>n</w:t>
      </w:r>
      <w:r w:rsidR="000D6982" w:rsidRPr="000D6982">
        <w:rPr>
          <w:rFonts w:asciiTheme="majorHAnsi" w:hAnsiTheme="majorHAnsi"/>
          <w:vertAlign w:val="superscript"/>
        </w:rPr>
        <w:t>b</w:t>
      </w:r>
    </w:p>
    <w:p w:rsidR="000D6982" w:rsidRPr="000D6982" w:rsidRDefault="000D6982" w:rsidP="000D6982">
      <w:pPr>
        <w:jc w:val="center"/>
        <w:rPr>
          <w:rFonts w:asciiTheme="majorHAnsi" w:hAnsiTheme="majorHAnsi"/>
        </w:rPr>
      </w:pPr>
    </w:p>
    <w:p w:rsidR="000D6982" w:rsidRPr="008C4FEE" w:rsidRDefault="000D6982" w:rsidP="000D6982">
      <w:pPr>
        <w:rPr>
          <w:rFonts w:asciiTheme="majorHAnsi" w:hAnsiTheme="majorHAnsi"/>
          <w:i/>
          <w:sz w:val="24"/>
          <w:szCs w:val="24"/>
        </w:rPr>
      </w:pPr>
      <w:r w:rsidRPr="008C4FEE">
        <w:rPr>
          <w:rFonts w:asciiTheme="majorHAnsi" w:hAnsiTheme="majorHAnsi"/>
          <w:i/>
          <w:sz w:val="24"/>
          <w:szCs w:val="24"/>
          <w:vertAlign w:val="superscript"/>
        </w:rPr>
        <w:t>a</w:t>
      </w:r>
      <w:r w:rsidR="008C4FEE" w:rsidRPr="008C4FEE">
        <w:rPr>
          <w:rFonts w:asciiTheme="majorHAnsi" w:hAnsiTheme="majorHAnsi"/>
          <w:i/>
          <w:sz w:val="24"/>
          <w:szCs w:val="24"/>
          <w:vertAlign w:val="superscript"/>
        </w:rPr>
        <w:t>William Osler Health System, Toronto, Canada</w:t>
      </w:r>
    </w:p>
    <w:p w:rsidR="000D6982" w:rsidRPr="008C4FEE" w:rsidRDefault="000D6982" w:rsidP="000D6982">
      <w:pPr>
        <w:rPr>
          <w:rFonts w:asciiTheme="majorHAnsi" w:hAnsiTheme="majorHAnsi"/>
          <w:i/>
          <w:sz w:val="24"/>
          <w:szCs w:val="24"/>
        </w:rPr>
      </w:pPr>
      <w:r w:rsidRPr="008C4FEE">
        <w:rPr>
          <w:rFonts w:asciiTheme="majorHAnsi" w:hAnsiTheme="majorHAnsi"/>
          <w:i/>
          <w:sz w:val="24"/>
          <w:szCs w:val="24"/>
          <w:vertAlign w:val="superscript"/>
        </w:rPr>
        <w:t>b</w:t>
      </w:r>
      <w:r w:rsidR="008C4FEE">
        <w:rPr>
          <w:rFonts w:asciiTheme="majorHAnsi" w:hAnsiTheme="majorHAnsi"/>
          <w:i/>
          <w:sz w:val="24"/>
          <w:szCs w:val="24"/>
          <w:vertAlign w:val="superscript"/>
        </w:rPr>
        <w:t>University</w:t>
      </w:r>
      <w:r w:rsidR="008C4FEE" w:rsidRPr="008C4FEE">
        <w:rPr>
          <w:rFonts w:asciiTheme="majorHAnsi" w:hAnsiTheme="majorHAnsi"/>
          <w:i/>
          <w:sz w:val="24"/>
          <w:szCs w:val="24"/>
          <w:vertAlign w:val="superscript"/>
        </w:rPr>
        <w:t xml:space="preserve"> of Toronto, Canada</w:t>
      </w:r>
    </w:p>
    <w:p w:rsidR="00AE3E37" w:rsidRPr="008C4FEE" w:rsidRDefault="00AE3E37">
      <w:pPr>
        <w:pStyle w:val="BodyText"/>
        <w:rPr>
          <w:rFonts w:asciiTheme="majorHAnsi" w:hAnsiTheme="majorHAnsi"/>
          <w:sz w:val="24"/>
          <w:szCs w:val="24"/>
        </w:rPr>
      </w:pPr>
    </w:p>
    <w:p w:rsidR="00AE3E37" w:rsidRPr="000D6982" w:rsidRDefault="00AE3E37">
      <w:pPr>
        <w:pStyle w:val="BodyText"/>
        <w:spacing w:before="3"/>
        <w:rPr>
          <w:rFonts w:asciiTheme="majorHAnsi" w:hAnsiTheme="majorHAnsi"/>
          <w:sz w:val="21"/>
        </w:rPr>
      </w:pP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D6982" w:rsidRDefault="00A9710C">
      <w:pPr>
        <w:pStyle w:val="Heading3"/>
        <w:spacing w:before="147"/>
        <w:jc w:val="both"/>
        <w:rPr>
          <w:rFonts w:asciiTheme="majorHAnsi" w:hAnsiTheme="majorHAnsi"/>
        </w:rPr>
      </w:pPr>
      <w:r w:rsidRPr="000D6982">
        <w:rPr>
          <w:rFonts w:asciiTheme="majorHAnsi" w:hAnsiTheme="majorHAnsi"/>
          <w:color w:val="BF5A14"/>
        </w:rPr>
        <w:t>Abstract</w:t>
      </w:r>
      <w:r w:rsidR="00404E5B" w:rsidRPr="000D6982">
        <w:rPr>
          <w:rFonts w:asciiTheme="majorHAnsi" w:hAnsiTheme="majorHAnsi"/>
          <w:color w:val="BF5A14"/>
        </w:rPr>
        <w:t xml:space="preserve"> (300 word limit)</w:t>
      </w:r>
    </w:p>
    <w:p w:rsidR="00A51646" w:rsidRDefault="00A9710C">
      <w:pPr>
        <w:pStyle w:val="BodyText"/>
        <w:spacing w:before="90" w:line="280" w:lineRule="auto"/>
        <w:ind w:left="100"/>
        <w:jc w:val="both"/>
        <w:rPr>
          <w:rFonts w:asciiTheme="majorHAnsi" w:hAnsiTheme="majorHAnsi"/>
        </w:rPr>
      </w:pPr>
      <w:r w:rsidRPr="008C4FEE">
        <w:rPr>
          <w:rFonts w:asciiTheme="majorHAnsi" w:hAnsiTheme="majorHAnsi"/>
          <w:b/>
          <w:u w:val="single"/>
        </w:rPr>
        <w:t>Statement of the Problem:</w:t>
      </w:r>
      <w:r w:rsidRPr="000D6982">
        <w:rPr>
          <w:rFonts w:asciiTheme="majorHAnsi" w:hAnsiTheme="majorHAnsi"/>
        </w:rPr>
        <w:t xml:space="preserve"> </w:t>
      </w:r>
      <w:r w:rsidR="002D487B">
        <w:rPr>
          <w:rFonts w:asciiTheme="majorHAnsi" w:hAnsiTheme="majorHAnsi"/>
        </w:rPr>
        <w:t xml:space="preserve">The endocannabinoid system is </w:t>
      </w:r>
      <w:r w:rsidR="00A51646">
        <w:rPr>
          <w:rFonts w:asciiTheme="majorHAnsi" w:hAnsiTheme="majorHAnsi"/>
        </w:rPr>
        <w:t>ubiquitous throughout the human body and has recently been found to have a significant repre</w:t>
      </w:r>
      <w:r w:rsidR="008B7C61">
        <w:rPr>
          <w:rFonts w:asciiTheme="majorHAnsi" w:hAnsiTheme="majorHAnsi"/>
        </w:rPr>
        <w:t>sentation throughout</w:t>
      </w:r>
      <w:r w:rsidR="002D487B">
        <w:rPr>
          <w:rFonts w:asciiTheme="majorHAnsi" w:hAnsiTheme="majorHAnsi"/>
        </w:rPr>
        <w:t xml:space="preserve"> the integumentary </w:t>
      </w:r>
      <w:r w:rsidR="00FE2CF2">
        <w:rPr>
          <w:rFonts w:asciiTheme="majorHAnsi" w:hAnsiTheme="majorHAnsi"/>
        </w:rPr>
        <w:t xml:space="preserve">system, both cutaneous membranes and mucous membranes. </w:t>
      </w:r>
      <w:r w:rsidR="00C24C66">
        <w:rPr>
          <w:rFonts w:asciiTheme="majorHAnsi" w:hAnsiTheme="majorHAnsi"/>
        </w:rPr>
        <w:t xml:space="preserve"> Topical Medical Cannabis (TMC) based</w:t>
      </w:r>
      <w:r w:rsidR="00FE2CF2">
        <w:rPr>
          <w:rFonts w:asciiTheme="majorHAnsi" w:hAnsiTheme="majorHAnsi"/>
        </w:rPr>
        <w:t xml:space="preserve"> </w:t>
      </w:r>
      <w:r w:rsidR="008B7C61">
        <w:rPr>
          <w:rFonts w:asciiTheme="majorHAnsi" w:hAnsiTheme="majorHAnsi"/>
        </w:rPr>
        <w:t>medicines are</w:t>
      </w:r>
      <w:r w:rsidR="00FE2CF2">
        <w:rPr>
          <w:rFonts w:asciiTheme="majorHAnsi" w:hAnsiTheme="majorHAnsi"/>
        </w:rPr>
        <w:t xml:space="preserve"> intrinsically lipophilic and contain both </w:t>
      </w:r>
      <w:r w:rsidR="00472AE5">
        <w:rPr>
          <w:rFonts w:asciiTheme="majorHAnsi" w:hAnsiTheme="majorHAnsi"/>
        </w:rPr>
        <w:t>delta-9-tetrahydrocannabinol (</w:t>
      </w:r>
      <w:r w:rsidR="00FE2CF2">
        <w:rPr>
          <w:rFonts w:asciiTheme="majorHAnsi" w:hAnsiTheme="majorHAnsi"/>
        </w:rPr>
        <w:t>THC</w:t>
      </w:r>
      <w:r w:rsidR="00277135">
        <w:rPr>
          <w:rFonts w:asciiTheme="majorHAnsi" w:hAnsiTheme="majorHAnsi"/>
        </w:rPr>
        <w:t xml:space="preserve"> </w:t>
      </w:r>
      <w:r w:rsidR="00472AE5">
        <w:rPr>
          <w:rFonts w:asciiTheme="majorHAnsi" w:hAnsiTheme="majorHAnsi"/>
        </w:rPr>
        <w:t>)</w:t>
      </w:r>
      <w:r w:rsidR="00277135">
        <w:rPr>
          <w:rFonts w:asciiTheme="majorHAnsi" w:hAnsiTheme="majorHAnsi"/>
        </w:rPr>
        <w:t xml:space="preserve">and </w:t>
      </w:r>
      <w:r w:rsidR="00472AE5">
        <w:rPr>
          <w:rFonts w:asciiTheme="majorHAnsi" w:hAnsiTheme="majorHAnsi"/>
        </w:rPr>
        <w:t>Cannabidiol (C</w:t>
      </w:r>
      <w:r w:rsidR="00277135">
        <w:rPr>
          <w:rFonts w:asciiTheme="majorHAnsi" w:hAnsiTheme="majorHAnsi"/>
        </w:rPr>
        <w:t>BD</w:t>
      </w:r>
      <w:r w:rsidR="00472AE5">
        <w:rPr>
          <w:rFonts w:asciiTheme="majorHAnsi" w:hAnsiTheme="majorHAnsi"/>
        </w:rPr>
        <w:t>)</w:t>
      </w:r>
      <w:bookmarkStart w:id="0" w:name="_GoBack"/>
      <w:bookmarkEnd w:id="0"/>
      <w:r w:rsidR="00277135">
        <w:rPr>
          <w:rFonts w:asciiTheme="majorHAnsi" w:hAnsiTheme="majorHAnsi"/>
        </w:rPr>
        <w:t xml:space="preserve"> in varying proportions. Given that wound beds are largely lipophilic</w:t>
      </w:r>
      <w:r w:rsidR="008B7C61">
        <w:rPr>
          <w:rFonts w:asciiTheme="majorHAnsi" w:hAnsiTheme="majorHAnsi"/>
        </w:rPr>
        <w:t xml:space="preserve"> </w:t>
      </w:r>
      <w:r w:rsidR="00277135">
        <w:rPr>
          <w:rFonts w:asciiTheme="majorHAnsi" w:hAnsiTheme="majorHAnsi"/>
        </w:rPr>
        <w:t>absorption of lipophilic agents</w:t>
      </w:r>
      <w:r w:rsidR="008B7C61">
        <w:rPr>
          <w:rFonts w:asciiTheme="majorHAnsi" w:hAnsiTheme="majorHAnsi"/>
        </w:rPr>
        <w:t>, such as cannabinoids,</w:t>
      </w:r>
      <w:r w:rsidR="00277135">
        <w:rPr>
          <w:rFonts w:asciiTheme="majorHAnsi" w:hAnsiTheme="majorHAnsi"/>
        </w:rPr>
        <w:t xml:space="preserve"> is enhanced.</w:t>
      </w:r>
    </w:p>
    <w:p w:rsidR="00A51646" w:rsidRPr="00C24C66" w:rsidRDefault="00A9710C" w:rsidP="00C24C66">
      <w:pPr>
        <w:pStyle w:val="BodyText"/>
        <w:spacing w:before="90" w:line="280" w:lineRule="auto"/>
        <w:ind w:left="100"/>
        <w:jc w:val="both"/>
        <w:rPr>
          <w:rFonts w:asciiTheme="majorHAnsi" w:hAnsiTheme="majorHAnsi"/>
        </w:rPr>
      </w:pPr>
      <w:r w:rsidRPr="008C4FEE">
        <w:rPr>
          <w:rFonts w:asciiTheme="majorHAnsi" w:hAnsiTheme="majorHAnsi"/>
          <w:b/>
          <w:u w:val="single"/>
        </w:rPr>
        <w:t>Methodolog</w:t>
      </w:r>
      <w:r w:rsidR="008756E6" w:rsidRPr="008C4FEE">
        <w:rPr>
          <w:rFonts w:asciiTheme="majorHAnsi" w:hAnsiTheme="majorHAnsi"/>
          <w:b/>
          <w:u w:val="single"/>
        </w:rPr>
        <w:t>y &amp; Theoretical Orientation:</w:t>
      </w:r>
      <w:r w:rsidR="002D487B">
        <w:rPr>
          <w:rFonts w:asciiTheme="majorHAnsi" w:hAnsiTheme="majorHAnsi"/>
        </w:rPr>
        <w:t xml:space="preserve"> A series of n=1 trials were ini</w:t>
      </w:r>
      <w:r w:rsidR="00277135">
        <w:rPr>
          <w:rFonts w:asciiTheme="majorHAnsi" w:hAnsiTheme="majorHAnsi"/>
        </w:rPr>
        <w:t>tiated on a cohort</w:t>
      </w:r>
      <w:r w:rsidR="002D487B">
        <w:rPr>
          <w:rFonts w:asciiTheme="majorHAnsi" w:hAnsiTheme="majorHAnsi"/>
        </w:rPr>
        <w:t xml:space="preserve"> of</w:t>
      </w:r>
      <w:r w:rsidR="008B7C61">
        <w:rPr>
          <w:rFonts w:asciiTheme="majorHAnsi" w:hAnsiTheme="majorHAnsi"/>
        </w:rPr>
        <w:t xml:space="preserve"> stalled</w:t>
      </w:r>
      <w:r w:rsidR="002D487B">
        <w:rPr>
          <w:rFonts w:asciiTheme="majorHAnsi" w:hAnsiTheme="majorHAnsi"/>
        </w:rPr>
        <w:t xml:space="preserve"> recalcitrant wounds</w:t>
      </w:r>
      <w:r w:rsidR="00E427FF">
        <w:rPr>
          <w:rFonts w:asciiTheme="majorHAnsi" w:hAnsiTheme="majorHAnsi"/>
        </w:rPr>
        <w:t xml:space="preserve">, </w:t>
      </w:r>
      <w:r w:rsidR="00601365">
        <w:rPr>
          <w:rFonts w:asciiTheme="majorHAnsi" w:hAnsiTheme="majorHAnsi"/>
        </w:rPr>
        <w:t xml:space="preserve">composed of cases </w:t>
      </w:r>
      <w:r w:rsidR="00E427FF">
        <w:rPr>
          <w:rFonts w:asciiTheme="majorHAnsi" w:hAnsiTheme="majorHAnsi"/>
        </w:rPr>
        <w:t xml:space="preserve">of greater than 12 months </w:t>
      </w:r>
      <w:r w:rsidR="00601365">
        <w:rPr>
          <w:rFonts w:asciiTheme="majorHAnsi" w:hAnsiTheme="majorHAnsi"/>
        </w:rPr>
        <w:t>duration, were</w:t>
      </w:r>
      <w:r w:rsidR="00C24C66">
        <w:rPr>
          <w:rFonts w:asciiTheme="majorHAnsi" w:hAnsiTheme="majorHAnsi"/>
        </w:rPr>
        <w:t xml:space="preserve"> treated with TMC based medicines. </w:t>
      </w:r>
      <w:r w:rsidR="00601365">
        <w:rPr>
          <w:rFonts w:asciiTheme="majorHAnsi" w:hAnsiTheme="majorHAnsi"/>
        </w:rPr>
        <w:t xml:space="preserve">All cases were previously </w:t>
      </w:r>
      <w:r w:rsidR="00B371FA">
        <w:rPr>
          <w:rFonts w:asciiTheme="majorHAnsi" w:hAnsiTheme="majorHAnsi"/>
        </w:rPr>
        <w:t>afforded with all available Evidence</w:t>
      </w:r>
      <w:r w:rsidR="00601365">
        <w:rPr>
          <w:rFonts w:asciiTheme="majorHAnsi" w:hAnsiTheme="majorHAnsi"/>
        </w:rPr>
        <w:t xml:space="preserve">-Based treatments that conformed with local best practices and wound-bed preparation principles. </w:t>
      </w:r>
      <w:r w:rsidR="00C24C66">
        <w:rPr>
          <w:rFonts w:asciiTheme="majorHAnsi" w:hAnsiTheme="majorHAnsi"/>
        </w:rPr>
        <w:t xml:space="preserve">Ten cases were </w:t>
      </w:r>
      <w:r w:rsidR="00277135">
        <w:rPr>
          <w:rFonts w:asciiTheme="majorHAnsi" w:hAnsiTheme="majorHAnsi"/>
        </w:rPr>
        <w:t>studies for wound analgesia, 10</w:t>
      </w:r>
      <w:r w:rsidR="00C24C66">
        <w:rPr>
          <w:rFonts w:asciiTheme="majorHAnsi" w:hAnsiTheme="majorHAnsi"/>
        </w:rPr>
        <w:t xml:space="preserve"> cases for wound healing, and 4 cases for disease modulation.</w:t>
      </w:r>
      <w:r w:rsidR="00277135">
        <w:rPr>
          <w:rFonts w:asciiTheme="majorHAnsi" w:hAnsiTheme="majorHAnsi"/>
        </w:rPr>
        <w:t xml:space="preserve"> Etiologies represented within the cohort under study included: Pyoderma Gangrenosum, Leukocytoclastic Vasculitis, </w:t>
      </w:r>
      <w:r w:rsidR="001A3E63">
        <w:rPr>
          <w:rFonts w:asciiTheme="majorHAnsi" w:hAnsiTheme="majorHAnsi"/>
        </w:rPr>
        <w:t xml:space="preserve">Cryoglobulinemia, </w:t>
      </w:r>
      <w:r w:rsidR="007E7AE7">
        <w:rPr>
          <w:rFonts w:asciiTheme="majorHAnsi" w:hAnsiTheme="majorHAnsi"/>
        </w:rPr>
        <w:t xml:space="preserve">Antiphospholipid syndrome, </w:t>
      </w:r>
      <w:r w:rsidR="00277135">
        <w:rPr>
          <w:rFonts w:asciiTheme="majorHAnsi" w:hAnsiTheme="majorHAnsi"/>
        </w:rPr>
        <w:t>Sickle Cell Disease, Lichen Simplex Chronicus, Bowen’s Disease, and Squamous Cell Cancer.</w:t>
      </w:r>
      <w:r w:rsidR="00C24C66">
        <w:rPr>
          <w:rFonts w:asciiTheme="majorHAnsi" w:hAnsiTheme="majorHAnsi"/>
        </w:rPr>
        <w:t xml:space="preserve"> Clinically significant analgesia, wound healing, and disease was noted in all cases. The TMC medicines were </w:t>
      </w:r>
      <w:r w:rsidR="00601365">
        <w:rPr>
          <w:rFonts w:asciiTheme="majorHAnsi" w:hAnsiTheme="majorHAnsi"/>
        </w:rPr>
        <w:t xml:space="preserve">applied directly applied to wound beds. TMC was </w:t>
      </w:r>
      <w:r w:rsidR="00C24C66">
        <w:rPr>
          <w:rFonts w:asciiTheme="majorHAnsi" w:hAnsiTheme="majorHAnsi"/>
        </w:rPr>
        <w:t>very well tolerated and no adverse reactions were observed.</w:t>
      </w:r>
    </w:p>
    <w:p w:rsidR="00AE3E37" w:rsidRPr="000D6982" w:rsidRDefault="00A9710C">
      <w:pPr>
        <w:pStyle w:val="BodyText"/>
        <w:spacing w:before="90" w:line="280" w:lineRule="auto"/>
        <w:ind w:left="100"/>
        <w:jc w:val="both"/>
        <w:rPr>
          <w:rFonts w:asciiTheme="majorHAnsi" w:hAnsiTheme="majorHAnsi"/>
        </w:rPr>
      </w:pPr>
      <w:r w:rsidRPr="008C4FEE">
        <w:rPr>
          <w:rFonts w:asciiTheme="majorHAnsi" w:hAnsiTheme="majorHAnsi"/>
          <w:b/>
          <w:u w:val="single"/>
        </w:rPr>
        <w:t>Conclusion &amp; Significance:</w:t>
      </w:r>
      <w:r w:rsidR="00A51646">
        <w:rPr>
          <w:rFonts w:asciiTheme="majorHAnsi" w:hAnsiTheme="majorHAnsi"/>
        </w:rPr>
        <w:t xml:space="preserve"> </w:t>
      </w:r>
      <w:r w:rsidR="00601365">
        <w:rPr>
          <w:rFonts w:asciiTheme="majorHAnsi" w:hAnsiTheme="majorHAnsi"/>
        </w:rPr>
        <w:t>The highly positive results observed in a cohort of the most challenging recalcitrant cases provokes realistic interpolation that TMC based Medicines may be</w:t>
      </w:r>
      <w:r w:rsidR="00B371FA">
        <w:rPr>
          <w:rFonts w:asciiTheme="majorHAnsi" w:hAnsiTheme="majorHAnsi"/>
        </w:rPr>
        <w:t xml:space="preserve"> effective</w:t>
      </w:r>
      <w:r w:rsidR="00601365">
        <w:rPr>
          <w:rFonts w:asciiTheme="majorHAnsi" w:hAnsiTheme="majorHAnsi"/>
        </w:rPr>
        <w:t xml:space="preserve"> for a broader context within Wound Management. </w:t>
      </w:r>
      <w:r w:rsidR="00A51646">
        <w:rPr>
          <w:rFonts w:asciiTheme="majorHAnsi" w:hAnsiTheme="majorHAnsi"/>
        </w:rPr>
        <w:t xml:space="preserve">The endocannabinoid system is a viable </w:t>
      </w:r>
      <w:r w:rsidR="00C24C66">
        <w:rPr>
          <w:rFonts w:asciiTheme="majorHAnsi" w:hAnsiTheme="majorHAnsi"/>
        </w:rPr>
        <w:t xml:space="preserve">Epigenetic </w:t>
      </w:r>
      <w:r w:rsidR="00A51646">
        <w:rPr>
          <w:rFonts w:asciiTheme="majorHAnsi" w:hAnsiTheme="majorHAnsi"/>
        </w:rPr>
        <w:t>target and platform for exploring therapeutic options for skin and wound conditions.</w:t>
      </w:r>
      <w:r w:rsidR="002D487B">
        <w:rPr>
          <w:rFonts w:asciiTheme="majorHAnsi" w:hAnsiTheme="majorHAnsi"/>
        </w:rPr>
        <w:t xml:space="preserve"> Therapies</w:t>
      </w:r>
      <w:r w:rsidR="00096CCC">
        <w:rPr>
          <w:rFonts w:asciiTheme="majorHAnsi" w:hAnsiTheme="majorHAnsi"/>
        </w:rPr>
        <w:t xml:space="preserve"> based on Topical Medical Cannabis</w:t>
      </w:r>
      <w:r w:rsidR="002D487B">
        <w:rPr>
          <w:rFonts w:asciiTheme="majorHAnsi" w:hAnsiTheme="majorHAnsi"/>
        </w:rPr>
        <w:t xml:space="preserve"> that interact at the level of the endocannabinoid system have significant potential to improve</w:t>
      </w:r>
      <w:r w:rsidR="004A5609">
        <w:rPr>
          <w:rFonts w:asciiTheme="majorHAnsi" w:hAnsiTheme="majorHAnsi"/>
        </w:rPr>
        <w:t xml:space="preserve"> the 3 main target outcomes in wound management, </w:t>
      </w:r>
      <w:r w:rsidR="00C24C66">
        <w:rPr>
          <w:rFonts w:asciiTheme="majorHAnsi" w:hAnsiTheme="majorHAnsi"/>
        </w:rPr>
        <w:t>namely, wound</w:t>
      </w:r>
      <w:r w:rsidR="002D487B">
        <w:rPr>
          <w:rFonts w:asciiTheme="majorHAnsi" w:hAnsiTheme="majorHAnsi"/>
        </w:rPr>
        <w:t xml:space="preserve"> analgesia, wound healing, and disease modulation that includes antineoplastic actions.</w:t>
      </w:r>
    </w:p>
    <w:p w:rsidR="00AE3E37" w:rsidRPr="000D6982" w:rsidRDefault="00A9710C">
      <w:pPr>
        <w:pStyle w:val="Heading3"/>
        <w:spacing w:before="74"/>
        <w:rPr>
          <w:rFonts w:asciiTheme="majorHAnsi" w:hAnsiTheme="majorHAnsi"/>
        </w:rPr>
      </w:pPr>
      <w:r w:rsidRPr="000D6982">
        <w:rPr>
          <w:rFonts w:asciiTheme="majorHAnsi" w:hAnsiTheme="majorHAnsi"/>
          <w:b w:val="0"/>
        </w:rPr>
        <w:br w:type="column"/>
      </w:r>
      <w:r w:rsidRPr="000D6982">
        <w:rPr>
          <w:rFonts w:asciiTheme="majorHAnsi" w:hAnsiTheme="majorHAnsi"/>
          <w:color w:val="BF5A14"/>
        </w:rPr>
        <w:t>Image</w:t>
      </w:r>
    </w:p>
    <w:p w:rsidR="00AE3E37" w:rsidRPr="000D6982" w:rsidRDefault="008C4FEE">
      <w:pPr>
        <w:pStyle w:val="BodyText"/>
        <w:spacing w:before="2"/>
        <w:rPr>
          <w:rFonts w:asciiTheme="majorHAnsi" w:hAnsiTheme="majorHAnsi"/>
          <w:b/>
          <w:sz w:val="16"/>
        </w:rPr>
      </w:pPr>
      <w:r w:rsidRPr="008C4FEE">
        <w:rPr>
          <w:rFonts w:asciiTheme="majorHAnsi" w:hAnsiTheme="majorHAnsi"/>
          <w:b/>
          <w:noProof/>
          <w:sz w:val="16"/>
        </w:rPr>
        <w:drawing>
          <wp:inline distT="0" distB="0" distL="0" distR="0" wp14:anchorId="49EA0E62" wp14:editId="524C2BE2">
            <wp:extent cx="3165475" cy="1289050"/>
            <wp:effectExtent l="0" t="0" r="0" b="635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0D6982" w:rsidRDefault="005973B9" w:rsidP="005973B9">
      <w:pPr>
        <w:spacing w:line="204" w:lineRule="exact"/>
        <w:rPr>
          <w:rFonts w:asciiTheme="majorHAnsi" w:hAnsiTheme="majorHAnsi"/>
          <w:b/>
          <w:sz w:val="20"/>
        </w:rPr>
      </w:pPr>
      <w:r w:rsidRPr="000D6982">
        <w:rPr>
          <w:rFonts w:asciiTheme="majorHAnsi" w:hAnsiTheme="majorHAnsi"/>
          <w:b/>
          <w:color w:val="BF5A14"/>
          <w:sz w:val="20"/>
        </w:rPr>
        <w:br/>
        <w:t>Recent Publications (minimum 5)</w:t>
      </w:r>
    </w:p>
    <w:p w:rsidR="00AE3E37" w:rsidRPr="00AA290C" w:rsidRDefault="008C4FEE" w:rsidP="004953B1">
      <w:pPr>
        <w:pStyle w:val="ListParagraph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Theme="majorHAnsi" w:hAnsiTheme="majorHAnsi"/>
          <w:sz w:val="24"/>
          <w:szCs w:val="24"/>
        </w:rPr>
      </w:pPr>
      <w:r w:rsidRPr="00AA290C">
        <w:rPr>
          <w:rFonts w:asciiTheme="majorHAnsi" w:eastAsiaTheme="minorHAnsi" w:hAnsiTheme="majorHAnsi"/>
          <w:color w:val="000000"/>
          <w:sz w:val="24"/>
          <w:szCs w:val="24"/>
          <w:lang w:val="en-CA"/>
        </w:rPr>
        <w:t>Biro T et al. Trends in Pharmacological Sciences 2009;30(8):411-420</w:t>
      </w:r>
    </w:p>
    <w:p w:rsidR="00AE3E37" w:rsidRPr="00AA290C" w:rsidRDefault="004953B1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AA290C">
        <w:rPr>
          <w:rFonts w:asciiTheme="majorHAnsi" w:hAnsiTheme="majorHAnsi"/>
        </w:rPr>
        <w:t>Pucci M et al. Epigenetic control of skin differentiatiom by phytocannabinoids. Br J Pharm 2013;170:581-591.</w:t>
      </w:r>
    </w:p>
    <w:p w:rsidR="004953B1" w:rsidRPr="00AA290C" w:rsidRDefault="004953B1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AA290C">
        <w:rPr>
          <w:rFonts w:asciiTheme="majorHAnsi" w:hAnsiTheme="majorHAnsi"/>
        </w:rPr>
        <w:t xml:space="preserve">Maida V. </w:t>
      </w:r>
      <w:r w:rsidR="003461D7" w:rsidRPr="00AA290C">
        <w:rPr>
          <w:rFonts w:asciiTheme="majorHAnsi" w:hAnsiTheme="majorHAnsi"/>
        </w:rPr>
        <w:t>TMC: A new treatment for Pyoderma Gangrenosum. J Pain Sympt Manag 2017;54(5):732-736.</w:t>
      </w:r>
    </w:p>
    <w:p w:rsidR="003461D7" w:rsidRPr="00AA290C" w:rsidRDefault="003461D7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AA290C">
        <w:rPr>
          <w:rFonts w:asciiTheme="majorHAnsi" w:hAnsiTheme="majorHAnsi"/>
        </w:rPr>
        <w:t>Maida V. Medical Cannabis in the Palliation of Malignant Wounds. J Pain Sympt Manag 2017;53(1):e4-e6.</w:t>
      </w:r>
    </w:p>
    <w:p w:rsidR="003461D7" w:rsidRPr="00AA290C" w:rsidRDefault="00942C30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AA290C">
        <w:rPr>
          <w:rFonts w:asciiTheme="majorHAnsi" w:hAnsiTheme="majorHAnsi"/>
        </w:rPr>
        <w:t>Oddi</w:t>
      </w:r>
      <w:r w:rsidR="00943A71" w:rsidRPr="00AA290C">
        <w:rPr>
          <w:rFonts w:asciiTheme="majorHAnsi" w:hAnsiTheme="majorHAnsi"/>
        </w:rPr>
        <w:t xml:space="preserve"> S et al. Endocannabinoids and skin barrier function: Molecular pathways and therapeutic opportunities. In: Wondrak G. (Eds.) CHAPTER 15, “Skin Stress Response Pathways 2016, pp301-323, Springer, Cham.doi 10.1007/978-3-319-43157-4</w:t>
      </w:r>
    </w:p>
    <w:p w:rsidR="00AA290C" w:rsidRDefault="00AA290C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AA290C">
        <w:rPr>
          <w:rFonts w:asciiTheme="majorHAnsi" w:hAnsiTheme="majorHAnsi"/>
        </w:rPr>
        <w:t>Maccarone M et al. Endocannabinoid signaling at the periphery: 50 years after THC Trends in Pharmacologic Sciences 2015;36(5):277-296.</w:t>
      </w:r>
    </w:p>
    <w:p w:rsidR="00AA290C" w:rsidRDefault="00AA290C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Mouness JS et al. The role of cannabinoids in dermatology. J Am Acad Dermatol</w:t>
      </w:r>
      <w:r w:rsidR="008665C8">
        <w:rPr>
          <w:rFonts w:asciiTheme="majorHAnsi" w:hAnsiTheme="majorHAnsi"/>
        </w:rPr>
        <w:t xml:space="preserve"> 2017;</w:t>
      </w:r>
      <w:r w:rsidR="00BD3148">
        <w:rPr>
          <w:rFonts w:asciiTheme="majorHAnsi" w:hAnsiTheme="majorHAnsi"/>
        </w:rPr>
        <w:t>77:188-90.</w:t>
      </w:r>
    </w:p>
    <w:p w:rsidR="00CB7260" w:rsidRPr="00AA290C" w:rsidRDefault="00CB7260" w:rsidP="004953B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Dhadwal G, Kirchhof MG. The risks and benefits of Cannabis in the Dermatology Clinic. J of Cutaneous Med and Surg 2017;pp 1-6 DOI:10.1177/1203475417738971 jcms.sagepub.com </w:t>
      </w:r>
    </w:p>
    <w:p w:rsidR="008C4FEE" w:rsidRDefault="008C4FEE">
      <w:pPr>
        <w:spacing w:line="200" w:lineRule="exact"/>
        <w:jc w:val="both"/>
        <w:rPr>
          <w:rFonts w:asciiTheme="majorHAnsi" w:hAnsiTheme="majorHAnsi"/>
        </w:rPr>
      </w:pPr>
    </w:p>
    <w:p w:rsidR="008C4FEE" w:rsidRDefault="008C4FEE">
      <w:pPr>
        <w:spacing w:line="200" w:lineRule="exact"/>
        <w:jc w:val="both"/>
        <w:rPr>
          <w:rFonts w:asciiTheme="majorHAnsi" w:hAnsiTheme="majorHAnsi"/>
        </w:rPr>
      </w:pPr>
    </w:p>
    <w:p w:rsidR="008C4FEE" w:rsidRPr="000D6982" w:rsidRDefault="008C4FEE">
      <w:pPr>
        <w:spacing w:line="200" w:lineRule="exact"/>
        <w:jc w:val="both"/>
        <w:rPr>
          <w:rFonts w:asciiTheme="majorHAnsi" w:hAnsiTheme="majorHAnsi"/>
        </w:rPr>
        <w:sectPr w:rsidR="008C4FEE" w:rsidRPr="000D69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AE3E37" w:rsidRPr="000D6982" w:rsidRDefault="00292ED9">
      <w:pPr>
        <w:pStyle w:val="BodyText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F63198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Pr="00041A28" w:rsidRDefault="00123F27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noProof/>
          <w:color w:val="BF5A14"/>
          <w:sz w:val="18"/>
          <w:szCs w:val="18"/>
        </w:rPr>
        <w:lastRenderedPageBreak/>
        <w:drawing>
          <wp:inline distT="0" distB="0" distL="0" distR="0">
            <wp:extent cx="4927600" cy="8864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p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 w:rsidRPr="00041A28">
        <w:rPr>
          <w:rFonts w:asciiTheme="majorHAnsi" w:hAnsiTheme="majorHAnsi"/>
          <w:color w:val="BF5A14"/>
          <w:sz w:val="18"/>
          <w:szCs w:val="18"/>
        </w:rPr>
        <w:t>Biography</w:t>
      </w:r>
      <w:r w:rsidR="00404E5B" w:rsidRPr="00041A28">
        <w:rPr>
          <w:rFonts w:asciiTheme="majorHAnsi" w:hAnsiTheme="majorHAnsi"/>
          <w:color w:val="BF5A14"/>
          <w:sz w:val="18"/>
          <w:szCs w:val="18"/>
        </w:rPr>
        <w:t xml:space="preserve"> (150 word limit)</w:t>
      </w:r>
    </w:p>
    <w:p w:rsidR="00123F27" w:rsidRPr="003D66CE" w:rsidRDefault="00123F27" w:rsidP="00123F27">
      <w:pPr>
        <w:rPr>
          <w:sz w:val="26"/>
          <w:szCs w:val="26"/>
        </w:rPr>
      </w:pPr>
      <w:r w:rsidRPr="003D66CE">
        <w:rPr>
          <w:sz w:val="26"/>
          <w:szCs w:val="26"/>
        </w:rPr>
        <w:lastRenderedPageBreak/>
        <w:t>Dr. Vincent Maida is a consultant in Palliative</w:t>
      </w:r>
      <w:r>
        <w:rPr>
          <w:sz w:val="26"/>
          <w:szCs w:val="26"/>
        </w:rPr>
        <w:t xml:space="preserve"> Medicine &amp;</w:t>
      </w:r>
      <w:r w:rsidRPr="003D66CE">
        <w:rPr>
          <w:sz w:val="26"/>
          <w:szCs w:val="26"/>
        </w:rPr>
        <w:t xml:space="preserve"> Wound </w:t>
      </w:r>
      <w:r>
        <w:rPr>
          <w:sz w:val="26"/>
          <w:szCs w:val="26"/>
        </w:rPr>
        <w:t>Management at the William Osler Health System in Toronto</w:t>
      </w:r>
      <w:r w:rsidRPr="003D66CE">
        <w:rPr>
          <w:sz w:val="26"/>
          <w:szCs w:val="26"/>
        </w:rPr>
        <w:t>. He</w:t>
      </w:r>
      <w:r>
        <w:rPr>
          <w:sz w:val="26"/>
          <w:szCs w:val="26"/>
        </w:rPr>
        <w:t xml:space="preserve"> obtained his medical degree</w:t>
      </w:r>
      <w:r w:rsidRPr="003D66CE">
        <w:rPr>
          <w:sz w:val="26"/>
          <w:szCs w:val="26"/>
        </w:rPr>
        <w:t xml:space="preserve"> from t</w:t>
      </w:r>
      <w:r>
        <w:rPr>
          <w:sz w:val="26"/>
          <w:szCs w:val="26"/>
        </w:rPr>
        <w:t>he University of Toronto</w:t>
      </w:r>
      <w:r w:rsidRPr="003D66CE">
        <w:rPr>
          <w:sz w:val="26"/>
          <w:szCs w:val="26"/>
        </w:rPr>
        <w:t>.</w:t>
      </w:r>
      <w:r>
        <w:rPr>
          <w:sz w:val="26"/>
          <w:szCs w:val="26"/>
        </w:rPr>
        <w:t xml:space="preserve"> He was promoted to</w:t>
      </w:r>
      <w:r w:rsidRPr="003D66CE">
        <w:rPr>
          <w:sz w:val="26"/>
          <w:szCs w:val="26"/>
        </w:rPr>
        <w:t xml:space="preserve"> Associate Professor at the University of Toronto</w:t>
      </w:r>
      <w:r>
        <w:rPr>
          <w:sz w:val="26"/>
          <w:szCs w:val="26"/>
        </w:rPr>
        <w:t xml:space="preserve"> in 2011</w:t>
      </w:r>
      <w:r w:rsidR="00D13301">
        <w:rPr>
          <w:sz w:val="26"/>
          <w:szCs w:val="26"/>
        </w:rPr>
        <w:t>. Dr. Maida</w:t>
      </w:r>
      <w:r w:rsidRPr="003D66CE">
        <w:rPr>
          <w:sz w:val="26"/>
          <w:szCs w:val="26"/>
        </w:rPr>
        <w:t xml:space="preserve"> completed his MSc in Wound Managem</w:t>
      </w:r>
      <w:r w:rsidR="00D13301">
        <w:rPr>
          <w:sz w:val="26"/>
          <w:szCs w:val="26"/>
        </w:rPr>
        <w:t xml:space="preserve">ent in </w:t>
      </w:r>
      <w:r w:rsidR="008765D8">
        <w:rPr>
          <w:sz w:val="26"/>
          <w:szCs w:val="26"/>
        </w:rPr>
        <w:t>2010, his</w:t>
      </w:r>
      <w:r>
        <w:rPr>
          <w:sz w:val="26"/>
          <w:szCs w:val="26"/>
        </w:rPr>
        <w:t xml:space="preserve"> Medical</w:t>
      </w:r>
      <w:r w:rsidRPr="003D66CE">
        <w:rPr>
          <w:sz w:val="26"/>
          <w:szCs w:val="26"/>
        </w:rPr>
        <w:t xml:space="preserve"> Teachers Certificate</w:t>
      </w:r>
      <w:r w:rsidR="00D13301">
        <w:rPr>
          <w:sz w:val="26"/>
          <w:szCs w:val="26"/>
        </w:rPr>
        <w:t xml:space="preserve"> in 2011, and </w:t>
      </w:r>
      <w:r w:rsidRPr="003D66CE">
        <w:rPr>
          <w:sz w:val="26"/>
          <w:szCs w:val="26"/>
        </w:rPr>
        <w:t>his certificate in Patient Safety and Quality Improvement</w:t>
      </w:r>
      <w:r w:rsidR="00D13301">
        <w:rPr>
          <w:sz w:val="26"/>
          <w:szCs w:val="26"/>
        </w:rPr>
        <w:t xml:space="preserve"> in 2014, all</w:t>
      </w:r>
      <w:r w:rsidRPr="003D66CE">
        <w:rPr>
          <w:sz w:val="26"/>
          <w:szCs w:val="26"/>
        </w:rPr>
        <w:t xml:space="preserve"> at the University of Toronto.</w:t>
      </w:r>
      <w:r>
        <w:rPr>
          <w:sz w:val="26"/>
          <w:szCs w:val="26"/>
        </w:rPr>
        <w:t xml:space="preserve"> </w:t>
      </w:r>
      <w:r w:rsidRPr="003D66CE">
        <w:rPr>
          <w:sz w:val="26"/>
          <w:szCs w:val="26"/>
        </w:rPr>
        <w:t>Dr. Maida is an active researcher with particular interests in pain and symptom management, wound management, prognosis, and medical education. Over the past 1</w:t>
      </w:r>
      <w:r>
        <w:rPr>
          <w:sz w:val="26"/>
          <w:szCs w:val="26"/>
        </w:rPr>
        <w:t>0 years he has published 4 textbook chapters, over 30</w:t>
      </w:r>
      <w:r w:rsidRPr="003D66CE">
        <w:rPr>
          <w:sz w:val="26"/>
          <w:szCs w:val="26"/>
        </w:rPr>
        <w:t xml:space="preserve"> original research papers, created numerous original conceptual innovations in Palliative Medicine and Wound Management, as well as delivering over 100 national and international presentations o</w:t>
      </w:r>
      <w:r>
        <w:rPr>
          <w:sz w:val="26"/>
          <w:szCs w:val="26"/>
        </w:rPr>
        <w:t>n 5</w:t>
      </w:r>
      <w:r w:rsidRPr="003D66CE">
        <w:rPr>
          <w:sz w:val="26"/>
          <w:szCs w:val="26"/>
        </w:rPr>
        <w:t xml:space="preserve"> continents</w:t>
      </w:r>
      <w:r>
        <w:rPr>
          <w:sz w:val="26"/>
          <w:szCs w:val="26"/>
        </w:rPr>
        <w:t>, 14</w:t>
      </w:r>
      <w:r w:rsidRPr="003D66CE">
        <w:rPr>
          <w:sz w:val="26"/>
          <w:szCs w:val="26"/>
        </w:rPr>
        <w:t xml:space="preserve"> countries, and over 50 cities</w:t>
      </w:r>
      <w:r>
        <w:rPr>
          <w:sz w:val="26"/>
          <w:szCs w:val="26"/>
        </w:rPr>
        <w:t>.</w:t>
      </w:r>
    </w:p>
    <w:p w:rsidR="000D6982" w:rsidRPr="00041A28" w:rsidRDefault="000D6982" w:rsidP="000D6982">
      <w:pPr>
        <w:spacing w:line="360" w:lineRule="auto"/>
        <w:jc w:val="both"/>
        <w:rPr>
          <w:rFonts w:asciiTheme="majorHAnsi" w:hAnsiTheme="majorHAnsi"/>
          <w:sz w:val="18"/>
          <w:szCs w:val="18"/>
        </w:rPr>
      </w:pP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0D6982" w:rsidRPr="00041A28" w:rsidRDefault="000D6982" w:rsidP="000D6982">
      <w:pPr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sz w:val="18"/>
          <w:szCs w:val="18"/>
        </w:rPr>
        <w:t>Keywords:</w:t>
      </w:r>
      <w:r w:rsidR="00123F27">
        <w:rPr>
          <w:rFonts w:asciiTheme="majorHAnsi" w:hAnsiTheme="majorHAnsi"/>
          <w:sz w:val="18"/>
          <w:szCs w:val="18"/>
        </w:rPr>
        <w:t xml:space="preserve"> Topical Medical Cannabis, Endocannabinoid system, </w:t>
      </w:r>
      <w:r w:rsidR="006D485F">
        <w:rPr>
          <w:rFonts w:asciiTheme="majorHAnsi" w:hAnsiTheme="majorHAnsi"/>
          <w:sz w:val="18"/>
          <w:szCs w:val="18"/>
        </w:rPr>
        <w:t>wound analgesia, wound healing, disease modulation, THC, CBD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="00123F27" w:rsidRPr="00123F27">
        <w:rPr>
          <w:rFonts w:asciiTheme="majorHAnsi" w:hAnsiTheme="majorHAnsi"/>
          <w:b/>
          <w:bCs/>
          <w:sz w:val="18"/>
          <w:szCs w:val="18"/>
        </w:rPr>
        <w:t>+</w:t>
      </w:r>
      <w:r w:rsidRPr="00123F27">
        <w:rPr>
          <w:rFonts w:asciiTheme="majorHAnsi" w:hAnsiTheme="majorHAnsi"/>
          <w:b/>
          <w:bCs/>
          <w:sz w:val="18"/>
          <w:szCs w:val="18"/>
        </w:rPr>
        <w:t>Oral</w:t>
      </w:r>
      <w:r w:rsidRPr="00041A28">
        <w:rPr>
          <w:rFonts w:asciiTheme="majorHAnsi" w:hAnsiTheme="majorHAnsi"/>
          <w:bCs/>
          <w:sz w:val="18"/>
          <w:szCs w:val="18"/>
        </w:rPr>
        <w:t xml:space="preserve"> </w:t>
      </w:r>
      <w:r w:rsidRPr="00041A28">
        <w:rPr>
          <w:rFonts w:asciiTheme="majorHAnsi" w:hAnsiTheme="majorHAnsi"/>
          <w:bCs/>
          <w:sz w:val="18"/>
          <w:szCs w:val="18"/>
        </w:rPr>
        <w:tab/>
        <w:t xml:space="preserve">/ </w:t>
      </w:r>
      <w:r w:rsidRPr="00041A28">
        <w:rPr>
          <w:rFonts w:asciiTheme="majorHAnsi" w:hAnsiTheme="majorHAnsi"/>
          <w:bCs/>
          <w:sz w:val="18"/>
          <w:szCs w:val="18"/>
        </w:rPr>
        <w:tab/>
        <w:t>_ Poster</w:t>
      </w:r>
      <w:r w:rsidRPr="00041A28">
        <w:rPr>
          <w:rFonts w:asciiTheme="majorHAnsi" w:hAnsiTheme="majorHAnsi"/>
          <w:bCs/>
          <w:sz w:val="18"/>
          <w:szCs w:val="18"/>
        </w:rPr>
        <w:tab/>
        <w:t xml:space="preserve"> / </w:t>
      </w:r>
      <w:r w:rsidRPr="00041A28">
        <w:rPr>
          <w:rFonts w:asciiTheme="majorHAnsi" w:hAnsiTheme="majorHAnsi"/>
          <w:bCs/>
          <w:sz w:val="18"/>
          <w:szCs w:val="18"/>
        </w:rPr>
        <w:tab/>
        <w:t>_ either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Topic                         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Pr="00041A28">
        <w:rPr>
          <w:rFonts w:asciiTheme="majorHAnsi" w:hAnsiTheme="majorHAnsi"/>
          <w:sz w:val="18"/>
          <w:szCs w:val="18"/>
        </w:rPr>
        <w:t>According to the list of topics provided on the web site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="00123F27">
        <w:rPr>
          <w:rFonts w:asciiTheme="majorHAnsi" w:hAnsiTheme="majorHAnsi"/>
          <w:sz w:val="18"/>
          <w:szCs w:val="18"/>
        </w:rPr>
        <w:tab/>
        <w:t>Dr. Vincent Maida</w:t>
      </w:r>
    </w:p>
    <w:p w:rsidR="00123F27" w:rsidRDefault="00123F27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</w:r>
      <w:r>
        <w:rPr>
          <w:rFonts w:asciiTheme="majorHAnsi" w:hAnsiTheme="majorHAnsi"/>
          <w:sz w:val="18"/>
          <w:szCs w:val="18"/>
        </w:rPr>
        <w:tab/>
      </w:r>
      <w:hyperlink r:id="rId11" w:history="1">
        <w:r w:rsidRPr="001E246C">
          <w:rPr>
            <w:rStyle w:val="Hyperlink"/>
            <w:rFonts w:asciiTheme="majorHAnsi" w:hAnsiTheme="majorHAnsi"/>
            <w:sz w:val="18"/>
            <w:szCs w:val="18"/>
          </w:rPr>
          <w:t>Vincent.maida@utoronto.ca</w:t>
        </w:r>
      </w:hyperlink>
    </w:p>
    <w:p w:rsidR="00123F27" w:rsidRDefault="00123F27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</w:r>
      <w:r>
        <w:rPr>
          <w:rFonts w:asciiTheme="majorHAnsi" w:hAnsiTheme="majorHAnsi"/>
          <w:sz w:val="18"/>
          <w:szCs w:val="18"/>
        </w:rPr>
        <w:tab/>
        <w:t>University of Toronto &amp; William Osler Health System, Toronto, Canada</w:t>
      </w:r>
    </w:p>
    <w:p w:rsidR="00123F27" w:rsidRPr="00041A28" w:rsidRDefault="00123F27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</w:r>
      <w:r>
        <w:rPr>
          <w:rFonts w:asciiTheme="majorHAnsi" w:hAnsiTheme="majorHAnsi"/>
          <w:sz w:val="18"/>
          <w:szCs w:val="18"/>
        </w:rPr>
        <w:tab/>
        <w:t>Cell 416-346-6829</w:t>
      </w:r>
    </w:p>
    <w:p w:rsidR="000D6982" w:rsidRPr="00041A28" w:rsidRDefault="00123F27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 xml:space="preserve">               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</w:t>
      </w:r>
      <w:r w:rsidR="00123F27">
        <w:rPr>
          <w:rFonts w:asciiTheme="majorHAnsi" w:hAnsiTheme="majorHAnsi"/>
          <w:sz w:val="18"/>
          <w:szCs w:val="18"/>
        </w:rPr>
        <w:t xml:space="preserve">       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</w:t>
      </w:r>
      <w:r w:rsidR="00123F27">
        <w:rPr>
          <w:rFonts w:asciiTheme="majorHAnsi" w:hAnsiTheme="majorHAnsi"/>
          <w:sz w:val="18"/>
          <w:szCs w:val="18"/>
        </w:rPr>
        <w:t xml:space="preserve">            </w:t>
      </w:r>
    </w:p>
    <w:p w:rsidR="00AE3E37" w:rsidRPr="00123F27" w:rsidRDefault="00123F27" w:rsidP="00123F27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  <w:sectPr w:rsidR="00AE3E37" w:rsidRPr="00123F2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ajorHAnsi" w:hAnsiTheme="majorHAnsi"/>
          <w:sz w:val="18"/>
          <w:szCs w:val="18"/>
        </w:rPr>
        <w:tab/>
        <w:t xml:space="preserve"> </w:t>
      </w:r>
    </w:p>
    <w:p w:rsidR="00AE3E37" w:rsidRPr="000D6982" w:rsidRDefault="00AE3E37">
      <w:pPr>
        <w:pStyle w:val="BodyText"/>
        <w:spacing w:before="3"/>
        <w:rPr>
          <w:rFonts w:asciiTheme="majorHAnsi" w:hAnsiTheme="majorHAnsi"/>
          <w:sz w:val="26"/>
        </w:rPr>
      </w:pPr>
    </w:p>
    <w:sectPr w:rsidR="00AE3E37" w:rsidRPr="000D698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DAA" w:rsidRDefault="005B7DAA">
      <w:r>
        <w:separator/>
      </w:r>
    </w:p>
  </w:endnote>
  <w:endnote w:type="continuationSeparator" w:id="0">
    <w:p w:rsidR="005B7DAA" w:rsidRDefault="005B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DAA" w:rsidRDefault="005B7DAA">
      <w:r>
        <w:separator/>
      </w:r>
    </w:p>
  </w:footnote>
  <w:footnote w:type="continuationSeparator" w:id="0">
    <w:p w:rsidR="005B7DAA" w:rsidRDefault="005B7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FE73D82"/>
    <w:multiLevelType w:val="hybridMultilevel"/>
    <w:tmpl w:val="4BC06D72"/>
    <w:lvl w:ilvl="0" w:tplc="D76CDFCC">
      <w:start w:val="1"/>
      <w:numFmt w:val="decimal"/>
      <w:lvlText w:val="%1."/>
      <w:lvlJc w:val="left"/>
      <w:pPr>
        <w:ind w:left="720" w:hanging="360"/>
      </w:pPr>
      <w:rPr>
        <w:rFonts w:ascii="Tw Cen MT" w:eastAsiaTheme="minorHAnsi" w:hAnsi="Tw Cen MT" w:hint="default"/>
        <w:color w:val="00000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1A28"/>
    <w:rsid w:val="00096CCC"/>
    <w:rsid w:val="000A195E"/>
    <w:rsid w:val="000A41FE"/>
    <w:rsid w:val="000C56F8"/>
    <w:rsid w:val="000D6982"/>
    <w:rsid w:val="000E2911"/>
    <w:rsid w:val="001171A4"/>
    <w:rsid w:val="00123F27"/>
    <w:rsid w:val="001263DF"/>
    <w:rsid w:val="0018262C"/>
    <w:rsid w:val="001A3E63"/>
    <w:rsid w:val="00276BB5"/>
    <w:rsid w:val="00277135"/>
    <w:rsid w:val="00292ED9"/>
    <w:rsid w:val="002D487B"/>
    <w:rsid w:val="003461D7"/>
    <w:rsid w:val="0035401A"/>
    <w:rsid w:val="003B4007"/>
    <w:rsid w:val="00404E5B"/>
    <w:rsid w:val="00414F7B"/>
    <w:rsid w:val="004355DC"/>
    <w:rsid w:val="004403E9"/>
    <w:rsid w:val="00472AE5"/>
    <w:rsid w:val="004749B4"/>
    <w:rsid w:val="00494130"/>
    <w:rsid w:val="004953B1"/>
    <w:rsid w:val="004A5609"/>
    <w:rsid w:val="004D1ADF"/>
    <w:rsid w:val="004F3523"/>
    <w:rsid w:val="00557606"/>
    <w:rsid w:val="005973B9"/>
    <w:rsid w:val="005B3A56"/>
    <w:rsid w:val="005B7DAA"/>
    <w:rsid w:val="00601365"/>
    <w:rsid w:val="006060CE"/>
    <w:rsid w:val="0063497F"/>
    <w:rsid w:val="006D485F"/>
    <w:rsid w:val="007E7AE7"/>
    <w:rsid w:val="00855699"/>
    <w:rsid w:val="008665C8"/>
    <w:rsid w:val="00873DF0"/>
    <w:rsid w:val="008756E6"/>
    <w:rsid w:val="008765D8"/>
    <w:rsid w:val="008B7C61"/>
    <w:rsid w:val="008C4FEE"/>
    <w:rsid w:val="00942C30"/>
    <w:rsid w:val="00943A71"/>
    <w:rsid w:val="009634C7"/>
    <w:rsid w:val="009B2D44"/>
    <w:rsid w:val="009D0086"/>
    <w:rsid w:val="00A07E82"/>
    <w:rsid w:val="00A51646"/>
    <w:rsid w:val="00A9710C"/>
    <w:rsid w:val="00AA290C"/>
    <w:rsid w:val="00AB4D98"/>
    <w:rsid w:val="00AD5D1D"/>
    <w:rsid w:val="00AE3E37"/>
    <w:rsid w:val="00B21A57"/>
    <w:rsid w:val="00B371FA"/>
    <w:rsid w:val="00B63140"/>
    <w:rsid w:val="00BD3148"/>
    <w:rsid w:val="00C24C66"/>
    <w:rsid w:val="00C33602"/>
    <w:rsid w:val="00CB7260"/>
    <w:rsid w:val="00CD6F55"/>
    <w:rsid w:val="00D13301"/>
    <w:rsid w:val="00DE3104"/>
    <w:rsid w:val="00E427FF"/>
    <w:rsid w:val="00F72EEA"/>
    <w:rsid w:val="00F84CAE"/>
    <w:rsid w:val="00FE2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5B871F"/>
  <w15:docId w15:val="{E1C43149-C8AC-CF48-B360-CF02DD05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23F2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ncent.maida@utoronto.c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Vincent Maida</cp:lastModifiedBy>
  <cp:revision>25</cp:revision>
  <dcterms:created xsi:type="dcterms:W3CDTF">2018-02-19T13:41:00Z</dcterms:created>
  <dcterms:modified xsi:type="dcterms:W3CDTF">2018-02-25T20:54:00Z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