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5</w:t>
      </w:r>
      <w:r w:rsidRPr="000D6982">
        <w:rPr>
          <w:rFonts w:asciiTheme="majorHAnsi" w:hAnsiTheme="majorHAnsi"/>
          <w:vertAlign w:val="superscript"/>
        </w:rPr>
        <w:t xml:space="preserve">th </w:t>
      </w:r>
      <w:r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October 15-16, 2018 Rome, Italy</w:t>
      </w:r>
    </w:p>
    <w:p w:rsidR="00CE7CFA" w:rsidRDefault="00CE7CFA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</w:p>
    <w:p w:rsidR="00CE7CFA" w:rsidRPr="000D6982" w:rsidRDefault="00CE7CFA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</w:p>
    <w:p w:rsidR="00D54ED9" w:rsidRDefault="00D54ED9" w:rsidP="00CE7CFA">
      <w:pPr>
        <w:jc w:val="center"/>
        <w:rPr>
          <w:rFonts w:asciiTheme="majorHAnsi" w:eastAsia="Minion Pro" w:hAnsiTheme="majorHAnsi" w:cs="Minion Pro"/>
          <w:b/>
          <w:bCs/>
          <w:color w:val="337AB7"/>
          <w:sz w:val="28"/>
          <w:szCs w:val="28"/>
          <w:lang w:val="en-GB"/>
        </w:rPr>
      </w:pPr>
      <w:r w:rsidRPr="00D54ED9">
        <w:rPr>
          <w:rFonts w:asciiTheme="majorHAnsi" w:eastAsia="Minion Pro" w:hAnsiTheme="majorHAnsi" w:cs="Minion Pro"/>
          <w:b/>
          <w:bCs/>
          <w:color w:val="337AB7"/>
          <w:sz w:val="28"/>
          <w:szCs w:val="28"/>
          <w:lang w:val="en-GB"/>
        </w:rPr>
        <w:t>Stimulation of Keratinocyte Wound Healing Responses and Re-Epithelialization by Novel Epoxy-</w:t>
      </w:r>
      <w:proofErr w:type="spellStart"/>
      <w:r w:rsidRPr="00D54ED9">
        <w:rPr>
          <w:rFonts w:asciiTheme="majorHAnsi" w:eastAsia="Minion Pro" w:hAnsiTheme="majorHAnsi" w:cs="Minion Pro"/>
          <w:b/>
          <w:bCs/>
          <w:color w:val="337AB7"/>
          <w:sz w:val="28"/>
          <w:szCs w:val="28"/>
          <w:lang w:val="en-GB"/>
        </w:rPr>
        <w:t>Tiglianes</w:t>
      </w:r>
      <w:proofErr w:type="spellEnd"/>
      <w:r w:rsidRPr="00D54ED9">
        <w:rPr>
          <w:rFonts w:asciiTheme="majorHAnsi" w:eastAsia="Minion Pro" w:hAnsiTheme="majorHAnsi" w:cs="Minion Pro"/>
          <w:b/>
          <w:bCs/>
          <w:color w:val="337AB7"/>
          <w:sz w:val="28"/>
          <w:szCs w:val="28"/>
          <w:lang w:val="en-GB"/>
        </w:rPr>
        <w:t xml:space="preserve"> via Protein Kinase C Activation</w:t>
      </w:r>
    </w:p>
    <w:p w:rsidR="00D54ED9" w:rsidRPr="00D54ED9" w:rsidRDefault="00D54ED9" w:rsidP="00D54ED9">
      <w:pPr>
        <w:rPr>
          <w:rFonts w:asciiTheme="majorHAnsi" w:eastAsia="Minion Pro" w:hAnsiTheme="majorHAnsi" w:cs="Minion Pro"/>
          <w:b/>
          <w:bCs/>
          <w:color w:val="337AB7"/>
          <w:sz w:val="28"/>
          <w:szCs w:val="28"/>
          <w:lang w:val="en-GB"/>
        </w:rPr>
      </w:pPr>
    </w:p>
    <w:p w:rsidR="00D54ED9" w:rsidRPr="00D54ED9" w:rsidRDefault="00D54ED9" w:rsidP="00D54ED9">
      <w:pPr>
        <w:rPr>
          <w:rFonts w:asciiTheme="majorHAnsi" w:hAnsiTheme="majorHAnsi"/>
          <w:u w:val="single"/>
          <w:lang w:val="en-GB"/>
        </w:rPr>
      </w:pPr>
      <w:r w:rsidRPr="00D54ED9">
        <w:rPr>
          <w:rFonts w:asciiTheme="majorHAnsi" w:hAnsiTheme="majorHAnsi"/>
          <w:u w:val="single"/>
          <w:lang w:val="en-GB"/>
        </w:rPr>
        <w:t xml:space="preserve">Rachael L. </w:t>
      </w:r>
      <w:proofErr w:type="spellStart"/>
      <w:r w:rsidRPr="00D54ED9">
        <w:rPr>
          <w:rFonts w:asciiTheme="majorHAnsi" w:hAnsiTheme="majorHAnsi"/>
          <w:u w:val="single"/>
          <w:lang w:val="en-GB"/>
        </w:rPr>
        <w:t>Moses</w:t>
      </w:r>
      <w:r w:rsidRPr="00D54ED9">
        <w:rPr>
          <w:rFonts w:asciiTheme="majorHAnsi" w:hAnsiTheme="majorHAnsi"/>
          <w:u w:val="single"/>
          <w:vertAlign w:val="superscript"/>
          <w:lang w:val="en-GB"/>
        </w:rPr>
        <w:t>a</w:t>
      </w:r>
      <w:proofErr w:type="spellEnd"/>
      <w:r w:rsidRPr="00D54ED9">
        <w:rPr>
          <w:rFonts w:asciiTheme="majorHAnsi" w:hAnsiTheme="majorHAnsi"/>
          <w:u w:val="single"/>
          <w:vertAlign w:val="superscript"/>
          <w:lang w:val="en-GB"/>
        </w:rPr>
        <w:t>*</w:t>
      </w:r>
      <w:r w:rsidRPr="00D54ED9">
        <w:rPr>
          <w:rFonts w:asciiTheme="majorHAnsi" w:hAnsiTheme="majorHAnsi"/>
          <w:u w:val="single"/>
          <w:lang w:val="en-GB"/>
        </w:rPr>
        <w:t xml:space="preserve">, Glen M. </w:t>
      </w:r>
      <w:proofErr w:type="spellStart"/>
      <w:r w:rsidRPr="00D54ED9">
        <w:rPr>
          <w:rFonts w:asciiTheme="majorHAnsi" w:hAnsiTheme="majorHAnsi"/>
          <w:u w:val="single"/>
          <w:lang w:val="en-GB"/>
        </w:rPr>
        <w:t>Boyle</w:t>
      </w:r>
      <w:r w:rsidRPr="00D54ED9">
        <w:rPr>
          <w:rFonts w:asciiTheme="majorHAnsi" w:hAnsiTheme="majorHAnsi"/>
          <w:u w:val="single"/>
          <w:vertAlign w:val="superscript"/>
          <w:lang w:val="en-GB"/>
        </w:rPr>
        <w:t>b</w:t>
      </w:r>
      <w:proofErr w:type="spellEnd"/>
      <w:r w:rsidRPr="00D54ED9">
        <w:rPr>
          <w:rFonts w:asciiTheme="majorHAnsi" w:hAnsiTheme="majorHAnsi"/>
          <w:u w:val="single"/>
          <w:lang w:val="en-GB"/>
        </w:rPr>
        <w:t xml:space="preserve">, Paul </w:t>
      </w:r>
      <w:proofErr w:type="spellStart"/>
      <w:r w:rsidRPr="00D54ED9">
        <w:rPr>
          <w:rFonts w:asciiTheme="majorHAnsi" w:hAnsiTheme="majorHAnsi"/>
          <w:u w:val="single"/>
          <w:lang w:val="en-GB"/>
        </w:rPr>
        <w:t>Reddell</w:t>
      </w:r>
      <w:r w:rsidRPr="00D54ED9">
        <w:rPr>
          <w:rFonts w:asciiTheme="majorHAnsi" w:hAnsiTheme="majorHAnsi"/>
          <w:u w:val="single"/>
          <w:vertAlign w:val="superscript"/>
          <w:lang w:val="en-GB"/>
        </w:rPr>
        <w:t>c</w:t>
      </w:r>
      <w:proofErr w:type="spellEnd"/>
      <w:r w:rsidRPr="00D54ED9">
        <w:rPr>
          <w:rFonts w:asciiTheme="majorHAnsi" w:hAnsiTheme="majorHAnsi"/>
          <w:u w:val="single"/>
          <w:lang w:val="en-GB"/>
        </w:rPr>
        <w:t xml:space="preserve">, Robert </w:t>
      </w:r>
      <w:proofErr w:type="spellStart"/>
      <w:r w:rsidRPr="00D54ED9">
        <w:rPr>
          <w:rFonts w:asciiTheme="majorHAnsi" w:hAnsiTheme="majorHAnsi"/>
          <w:u w:val="single"/>
          <w:lang w:val="en-GB"/>
        </w:rPr>
        <w:t>Steadman</w:t>
      </w:r>
      <w:r w:rsidRPr="00D54ED9">
        <w:rPr>
          <w:rFonts w:asciiTheme="majorHAnsi" w:hAnsiTheme="majorHAnsi"/>
          <w:u w:val="single"/>
          <w:vertAlign w:val="superscript"/>
          <w:lang w:val="en-GB"/>
        </w:rPr>
        <w:t>d</w:t>
      </w:r>
      <w:proofErr w:type="spellEnd"/>
      <w:r w:rsidRPr="00D54ED9">
        <w:rPr>
          <w:rFonts w:asciiTheme="majorHAnsi" w:hAnsiTheme="majorHAnsi"/>
          <w:u w:val="single"/>
          <w:lang w:val="en-GB"/>
        </w:rPr>
        <w:t xml:space="preserve">, Ryan </w:t>
      </w:r>
      <w:proofErr w:type="spellStart"/>
      <w:r w:rsidRPr="00D54ED9">
        <w:rPr>
          <w:rFonts w:asciiTheme="majorHAnsi" w:hAnsiTheme="majorHAnsi"/>
          <w:u w:val="single"/>
          <w:lang w:val="en-GB"/>
        </w:rPr>
        <w:t>Moseley</w:t>
      </w:r>
      <w:r w:rsidRPr="00D54ED9">
        <w:rPr>
          <w:rFonts w:asciiTheme="majorHAnsi" w:hAnsiTheme="majorHAnsi"/>
          <w:u w:val="single"/>
          <w:vertAlign w:val="superscript"/>
          <w:lang w:val="en-GB"/>
        </w:rPr>
        <w:t>a</w:t>
      </w:r>
      <w:proofErr w:type="spellEnd"/>
      <w:r w:rsidRPr="00D54ED9">
        <w:rPr>
          <w:rFonts w:asciiTheme="majorHAnsi" w:hAnsiTheme="majorHAnsi"/>
          <w:u w:val="single"/>
          <w:lang w:val="en-GB"/>
        </w:rPr>
        <w:t>.</w:t>
      </w:r>
    </w:p>
    <w:p w:rsidR="000D6982" w:rsidRPr="000D6982" w:rsidRDefault="000D6982" w:rsidP="000D6982">
      <w:pPr>
        <w:jc w:val="center"/>
        <w:rPr>
          <w:rFonts w:asciiTheme="majorHAnsi" w:hAnsiTheme="majorHAnsi"/>
        </w:rPr>
      </w:pPr>
    </w:p>
    <w:p w:rsidR="00D54ED9" w:rsidRPr="00D54ED9" w:rsidRDefault="00D54ED9" w:rsidP="00D54ED9">
      <w:pPr>
        <w:rPr>
          <w:rFonts w:asciiTheme="majorHAnsi" w:hAnsiTheme="majorHAnsi"/>
          <w:i/>
          <w:lang w:val="en-GB"/>
        </w:rPr>
      </w:pPr>
      <w:proofErr w:type="spellStart"/>
      <w:r w:rsidRPr="00D54ED9">
        <w:rPr>
          <w:rFonts w:asciiTheme="majorHAnsi" w:hAnsiTheme="majorHAnsi"/>
          <w:i/>
          <w:vertAlign w:val="superscript"/>
          <w:lang w:val="en-GB"/>
        </w:rPr>
        <w:t>a</w:t>
      </w:r>
      <w:r w:rsidRPr="00D54ED9">
        <w:rPr>
          <w:rFonts w:asciiTheme="majorHAnsi" w:hAnsiTheme="majorHAnsi"/>
          <w:i/>
          <w:lang w:val="en-GB"/>
        </w:rPr>
        <w:t>Stem</w:t>
      </w:r>
      <w:proofErr w:type="spellEnd"/>
      <w:r w:rsidRPr="00D54ED9">
        <w:rPr>
          <w:rFonts w:asciiTheme="majorHAnsi" w:hAnsiTheme="majorHAnsi"/>
          <w:i/>
          <w:lang w:val="en-GB"/>
        </w:rPr>
        <w:t xml:space="preserve"> Cells, Wound Repair &amp; Regeneration, Cardiff Institute of Tissue Engineering &amp; Repair (CITER), School of Dentistry, Cardiff University, UK.</w:t>
      </w:r>
    </w:p>
    <w:p w:rsidR="00D54ED9" w:rsidRPr="00D54ED9" w:rsidRDefault="00D54ED9" w:rsidP="00D54ED9">
      <w:pPr>
        <w:rPr>
          <w:rFonts w:asciiTheme="majorHAnsi" w:hAnsiTheme="majorHAnsi"/>
          <w:i/>
          <w:lang w:val="en-GB"/>
        </w:rPr>
      </w:pPr>
      <w:proofErr w:type="spellStart"/>
      <w:proofErr w:type="gramStart"/>
      <w:r w:rsidRPr="00D54ED9">
        <w:rPr>
          <w:rFonts w:asciiTheme="majorHAnsi" w:hAnsiTheme="majorHAnsi"/>
          <w:i/>
          <w:vertAlign w:val="superscript"/>
          <w:lang w:val="en-GB"/>
        </w:rPr>
        <w:t>b</w:t>
      </w:r>
      <w:r w:rsidRPr="00D54ED9">
        <w:rPr>
          <w:rFonts w:asciiTheme="majorHAnsi" w:hAnsiTheme="majorHAnsi"/>
          <w:i/>
          <w:lang w:val="en-GB"/>
        </w:rPr>
        <w:t>Drug</w:t>
      </w:r>
      <w:proofErr w:type="spellEnd"/>
      <w:proofErr w:type="gramEnd"/>
      <w:r w:rsidRPr="00D54ED9">
        <w:rPr>
          <w:rFonts w:asciiTheme="majorHAnsi" w:hAnsiTheme="majorHAnsi"/>
          <w:i/>
          <w:lang w:val="en-GB"/>
        </w:rPr>
        <w:t xml:space="preserve"> Discovery/Cancer Drug Mechanisms Group, QIMR Berghofer Medical Research Institute, Queensland, Australia.</w:t>
      </w:r>
    </w:p>
    <w:p w:rsidR="00D54ED9" w:rsidRPr="00D54ED9" w:rsidRDefault="00D54ED9" w:rsidP="00D54ED9">
      <w:pPr>
        <w:rPr>
          <w:rFonts w:asciiTheme="majorHAnsi" w:hAnsiTheme="majorHAnsi"/>
          <w:i/>
          <w:lang w:val="en-GB"/>
        </w:rPr>
      </w:pPr>
      <w:proofErr w:type="spellStart"/>
      <w:proofErr w:type="gramStart"/>
      <w:r w:rsidRPr="00D54ED9">
        <w:rPr>
          <w:rFonts w:asciiTheme="majorHAnsi" w:hAnsiTheme="majorHAnsi"/>
          <w:i/>
          <w:vertAlign w:val="superscript"/>
          <w:lang w:val="en-GB"/>
        </w:rPr>
        <w:t>c</w:t>
      </w:r>
      <w:r w:rsidRPr="00D54ED9">
        <w:rPr>
          <w:rFonts w:asciiTheme="majorHAnsi" w:hAnsiTheme="majorHAnsi"/>
          <w:i/>
          <w:lang w:val="en-GB"/>
        </w:rPr>
        <w:t>QBiotics</w:t>
      </w:r>
      <w:proofErr w:type="spellEnd"/>
      <w:proofErr w:type="gramEnd"/>
      <w:r w:rsidRPr="00D54ED9">
        <w:rPr>
          <w:rFonts w:asciiTheme="majorHAnsi" w:hAnsiTheme="majorHAnsi"/>
          <w:i/>
          <w:lang w:val="en-GB"/>
        </w:rPr>
        <w:t xml:space="preserve"> Ltd., </w:t>
      </w:r>
      <w:proofErr w:type="spellStart"/>
      <w:r w:rsidRPr="00D54ED9">
        <w:rPr>
          <w:rFonts w:asciiTheme="majorHAnsi" w:hAnsiTheme="majorHAnsi"/>
          <w:i/>
          <w:lang w:val="en-GB"/>
        </w:rPr>
        <w:t>Yungaburra</w:t>
      </w:r>
      <w:proofErr w:type="spellEnd"/>
      <w:r w:rsidRPr="00D54ED9">
        <w:rPr>
          <w:rFonts w:asciiTheme="majorHAnsi" w:hAnsiTheme="majorHAnsi"/>
          <w:i/>
          <w:lang w:val="en-GB"/>
        </w:rPr>
        <w:t xml:space="preserve">, Queensland, Australia. </w:t>
      </w:r>
    </w:p>
    <w:p w:rsidR="00D54ED9" w:rsidRPr="00D54ED9" w:rsidRDefault="00D54ED9" w:rsidP="00D54ED9">
      <w:pPr>
        <w:rPr>
          <w:rFonts w:asciiTheme="majorHAnsi" w:hAnsiTheme="majorHAnsi"/>
          <w:i/>
          <w:lang w:val="en-GB"/>
        </w:rPr>
      </w:pPr>
      <w:proofErr w:type="spellStart"/>
      <w:proofErr w:type="gramStart"/>
      <w:r w:rsidRPr="00D54ED9">
        <w:rPr>
          <w:rFonts w:asciiTheme="majorHAnsi" w:hAnsiTheme="majorHAnsi"/>
          <w:i/>
          <w:vertAlign w:val="superscript"/>
          <w:lang w:val="en-GB"/>
        </w:rPr>
        <w:t>d</w:t>
      </w:r>
      <w:r w:rsidRPr="00D54ED9">
        <w:rPr>
          <w:rFonts w:asciiTheme="majorHAnsi" w:hAnsiTheme="majorHAnsi"/>
          <w:i/>
          <w:lang w:val="en-GB"/>
        </w:rPr>
        <w:t>Welsh</w:t>
      </w:r>
      <w:proofErr w:type="spellEnd"/>
      <w:proofErr w:type="gramEnd"/>
      <w:r w:rsidRPr="00D54ED9">
        <w:rPr>
          <w:rFonts w:asciiTheme="majorHAnsi" w:hAnsiTheme="majorHAnsi"/>
          <w:i/>
          <w:lang w:val="en-GB"/>
        </w:rPr>
        <w:t xml:space="preserve"> Kidney Research Unit, CITER, School of Medicine, Cardiff University, UK.</w:t>
      </w:r>
    </w:p>
    <w:p w:rsidR="00D54ED9" w:rsidRPr="00D54ED9" w:rsidRDefault="00D54ED9" w:rsidP="00D54ED9">
      <w:pPr>
        <w:rPr>
          <w:rFonts w:asciiTheme="majorHAnsi" w:hAnsiTheme="majorHAnsi"/>
          <w:i/>
          <w:lang w:val="en-GB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D6982" w:rsidRDefault="00A9710C">
      <w:pPr>
        <w:pStyle w:val="Heading3"/>
        <w:spacing w:before="147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  <w:r w:rsidR="00404E5B" w:rsidRPr="000D6982">
        <w:rPr>
          <w:rFonts w:asciiTheme="majorHAnsi" w:hAnsiTheme="majorHAnsi"/>
          <w:color w:val="BF5A14"/>
        </w:rPr>
        <w:t xml:space="preserve"> (300 word limit)</w:t>
      </w:r>
    </w:p>
    <w:p w:rsidR="00A61D79" w:rsidRPr="00A61D79" w:rsidRDefault="00A61D79" w:rsidP="00A61D79">
      <w:pPr>
        <w:pStyle w:val="Heading3"/>
        <w:spacing w:before="74"/>
        <w:rPr>
          <w:rFonts w:asciiTheme="majorHAnsi" w:hAnsiTheme="majorHAnsi"/>
          <w:b w:val="0"/>
          <w:sz w:val="18"/>
          <w:szCs w:val="18"/>
          <w:lang w:val="en-GB"/>
        </w:rPr>
      </w:pPr>
      <w:r w:rsidRPr="00A61D79">
        <w:rPr>
          <w:rFonts w:asciiTheme="majorHAnsi" w:hAnsiTheme="majorHAnsi"/>
          <w:b w:val="0"/>
          <w:sz w:val="18"/>
          <w:szCs w:val="18"/>
          <w:lang w:val="en-GB"/>
        </w:rPr>
        <w:t>Novel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tiglianes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, EBC-46 and EBC-211, are sourced from seeds of the Fountain’s Blushwood Tree, indigenous to Queensland. EBC-46 possess potent 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tumouricidal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properties, through classical PKC activation, and is under development by our industrial partner, QBiotics Ltd., as a human and veterinary anti-cancer pharmaceutical. In clinical studies, EBC-46 also stimulated exceptional dermal healing, manifested as accelerated wound re-epithelialisation, closure and minimal scarring. This work describes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effects on keratinocyte wound healing responses and their underlying mechanisms of action.</w:t>
      </w:r>
    </w:p>
    <w:p w:rsidR="00A61D79" w:rsidRPr="00A61D79" w:rsidRDefault="00A61D79" w:rsidP="00A61D79">
      <w:pPr>
        <w:pStyle w:val="Heading3"/>
        <w:spacing w:before="74"/>
        <w:rPr>
          <w:rFonts w:asciiTheme="majorHAnsi" w:hAnsiTheme="majorHAnsi"/>
          <w:b w:val="0"/>
          <w:sz w:val="18"/>
          <w:szCs w:val="18"/>
          <w:lang w:val="en-GB"/>
        </w:rPr>
      </w:pPr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Immortalized human epidermal keratinocytes (HaCaTs) were treated with EBC-46 or EBC-211 (0-10µg/ml). Cell cycle progression/proliferation were assessed by FACS analysis and MTT assay. HaCaT migration was assessed using </w:t>
      </w:r>
      <w:r w:rsidRPr="00A61D79">
        <w:rPr>
          <w:rFonts w:asciiTheme="majorHAnsi" w:hAnsiTheme="majorHAnsi"/>
          <w:b w:val="0"/>
          <w:i/>
          <w:sz w:val="18"/>
          <w:szCs w:val="18"/>
          <w:lang w:val="en-GB"/>
        </w:rPr>
        <w:t>in vitro</w:t>
      </w:r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scratch wound assays. Global gene expression changes induced by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tiglianes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were quantified by Microarray analysis, with differentially expressed genes confirmed by protein level analysis. As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tiglianes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mediate responses via classical protein kinase (PKC) activation, mechanistic studies were performed with BIM-1 (pan-PKC), Gö6976 (classical-PKC) and LY317615 (PKC-βI/PKC-βII) inhibitors. Western blotting confirmed 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phospho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>-PKC activation following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treatment. </w:t>
      </w:r>
    </w:p>
    <w:p w:rsidR="00A61D79" w:rsidRPr="00A61D79" w:rsidRDefault="00A61D79" w:rsidP="00A61D79">
      <w:pPr>
        <w:pStyle w:val="Heading3"/>
        <w:spacing w:before="74"/>
        <w:rPr>
          <w:rFonts w:asciiTheme="majorHAnsi" w:hAnsiTheme="majorHAnsi"/>
          <w:b w:val="0"/>
          <w:sz w:val="18"/>
          <w:szCs w:val="18"/>
          <w:lang w:val="en-GB"/>
        </w:rPr>
      </w:pPr>
      <w:r w:rsidRPr="00A61D79">
        <w:rPr>
          <w:rFonts w:asciiTheme="majorHAnsi" w:hAnsiTheme="majorHAnsi"/>
          <w:b w:val="0"/>
          <w:sz w:val="18"/>
          <w:szCs w:val="18"/>
          <w:lang w:val="en-GB"/>
        </w:rPr>
        <w:t>Both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tiglianes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induced significant HaCaT cell cycle progression and proliferation; and also promoted significant </w:t>
      </w:r>
      <w:bookmarkStart w:id="0" w:name="_GoBack"/>
      <w:bookmarkEnd w:id="0"/>
      <w:r w:rsidRPr="00A61D79">
        <w:rPr>
          <w:rFonts w:asciiTheme="majorHAnsi" w:hAnsiTheme="majorHAnsi"/>
          <w:b w:val="0"/>
          <w:sz w:val="18"/>
          <w:szCs w:val="18"/>
          <w:lang w:val="en-GB"/>
        </w:rPr>
        <w:t>HaCaT scratch wound closure. Microarray analyses identified key genes differentially expressed in EBC-46/EBC-211-treated HaCaTs, which contribute to their stimulatory effects on keratinocyte proliferation and migration. Enhanced proliferative and migratory responses were significantly abrogated by BIM-1 and Gö6976, although LY317615 exhibited minimal inhibitory effects. PKC activation increased following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 xml:space="preserve"> treatment.</w:t>
      </w:r>
    </w:p>
    <w:p w:rsidR="00A61D79" w:rsidRPr="00A61D79" w:rsidRDefault="00A61D79" w:rsidP="00A61D79">
      <w:pPr>
        <w:pStyle w:val="Heading3"/>
        <w:spacing w:before="74"/>
        <w:rPr>
          <w:rFonts w:asciiTheme="majorHAnsi" w:hAnsiTheme="majorHAnsi"/>
          <w:b w:val="0"/>
          <w:sz w:val="18"/>
          <w:szCs w:val="18"/>
          <w:lang w:val="en-GB"/>
        </w:rPr>
      </w:pPr>
      <w:r w:rsidRPr="00A61D79">
        <w:rPr>
          <w:rFonts w:asciiTheme="majorHAnsi" w:hAnsiTheme="majorHAnsi"/>
          <w:b w:val="0"/>
          <w:sz w:val="18"/>
          <w:szCs w:val="18"/>
          <w:lang w:val="en-GB"/>
        </w:rPr>
        <w:t>Such findings explain the enhanced re-epithelialization responses in epoxy-</w:t>
      </w:r>
      <w:proofErr w:type="spellStart"/>
      <w:r w:rsidRPr="00A61D79">
        <w:rPr>
          <w:rFonts w:asciiTheme="majorHAnsi" w:hAnsiTheme="majorHAnsi"/>
          <w:b w:val="0"/>
          <w:sz w:val="18"/>
          <w:szCs w:val="18"/>
          <w:lang w:val="en-GB"/>
        </w:rPr>
        <w:t>tigliane</w:t>
      </w:r>
      <w:proofErr w:type="spellEnd"/>
      <w:r w:rsidRPr="00A61D79">
        <w:rPr>
          <w:rFonts w:asciiTheme="majorHAnsi" w:hAnsiTheme="majorHAnsi"/>
          <w:b w:val="0"/>
          <w:sz w:val="18"/>
          <w:szCs w:val="18"/>
          <w:lang w:val="en-GB"/>
        </w:rPr>
        <w:t>-treated skin; and provide justification for their translational development as novel therapeutics for impaired wound re-epithelialisation.</w:t>
      </w:r>
    </w:p>
    <w:p w:rsidR="00AE3E37" w:rsidRPr="000D6982" w:rsidRDefault="00A9710C" w:rsidP="00045F5D">
      <w:pPr>
        <w:pStyle w:val="Heading3"/>
        <w:spacing w:before="74"/>
        <w:rPr>
          <w:rFonts w:asciiTheme="majorHAnsi" w:hAnsiTheme="majorHAnsi"/>
          <w:b w:val="0"/>
          <w:sz w:val="16"/>
        </w:rPr>
      </w:pPr>
      <w:r w:rsidRPr="000D6982">
        <w:rPr>
          <w:rFonts w:asciiTheme="majorHAnsi" w:hAnsiTheme="majorHAnsi"/>
          <w:b w:val="0"/>
        </w:rPr>
        <w:br w:type="column"/>
      </w:r>
    </w:p>
    <w:p w:rsidR="005973B9" w:rsidRPr="000D6982" w:rsidRDefault="005973B9" w:rsidP="005973B9">
      <w:pPr>
        <w:spacing w:line="204" w:lineRule="exact"/>
        <w:rPr>
          <w:rFonts w:asciiTheme="majorHAnsi" w:hAnsiTheme="majorHAnsi"/>
          <w:b/>
          <w:sz w:val="20"/>
        </w:rPr>
      </w:pPr>
      <w:r w:rsidRPr="000D6982">
        <w:rPr>
          <w:rFonts w:asciiTheme="majorHAnsi" w:hAnsiTheme="majorHAnsi"/>
          <w:b/>
          <w:color w:val="BF5A14"/>
          <w:sz w:val="20"/>
        </w:rPr>
        <w:br/>
        <w:t>Recent Publications (minimum 5)</w:t>
      </w:r>
    </w:p>
    <w:p w:rsidR="00B30D12" w:rsidRPr="00B30D12" w:rsidRDefault="00B30D12" w:rsidP="00B30D12">
      <w:pPr>
        <w:pStyle w:val="ListParagraph"/>
        <w:numPr>
          <w:ilvl w:val="0"/>
          <w:numId w:val="3"/>
        </w:numPr>
        <w:rPr>
          <w:rFonts w:asciiTheme="majorHAnsi" w:hAnsiTheme="majorHAnsi"/>
          <w:sz w:val="18"/>
        </w:rPr>
      </w:pPr>
      <w:r w:rsidRPr="00B30D12">
        <w:rPr>
          <w:rFonts w:asciiTheme="majorHAnsi" w:hAnsiTheme="majorHAnsi"/>
          <w:sz w:val="18"/>
        </w:rPr>
        <w:t>Stimulation of keratinocyte wound healing responses and re-epithelialization by novel epoxy-</w:t>
      </w:r>
      <w:proofErr w:type="spellStart"/>
      <w:r w:rsidRPr="00B30D12">
        <w:rPr>
          <w:rFonts w:asciiTheme="majorHAnsi" w:hAnsiTheme="majorHAnsi"/>
          <w:sz w:val="18"/>
        </w:rPr>
        <w:t>tiglianes</w:t>
      </w:r>
      <w:proofErr w:type="spellEnd"/>
      <w:r w:rsidRPr="00B30D12">
        <w:rPr>
          <w:rFonts w:asciiTheme="majorHAnsi" w:hAnsiTheme="majorHAnsi"/>
          <w:sz w:val="18"/>
        </w:rPr>
        <w:t xml:space="preserve"> via protein kinase C activation. Moses, R.L., Boyle, G.M., Howard-Jones, R.A., Errington, R.J., Gordon, V.A., </w:t>
      </w:r>
      <w:proofErr w:type="spellStart"/>
      <w:r w:rsidRPr="00B30D12">
        <w:rPr>
          <w:rFonts w:asciiTheme="majorHAnsi" w:hAnsiTheme="majorHAnsi"/>
          <w:sz w:val="18"/>
        </w:rPr>
        <w:t>Reddell</w:t>
      </w:r>
      <w:proofErr w:type="spellEnd"/>
      <w:r w:rsidRPr="00B30D12">
        <w:rPr>
          <w:rFonts w:asciiTheme="majorHAnsi" w:hAnsiTheme="majorHAnsi"/>
          <w:sz w:val="18"/>
        </w:rPr>
        <w:t>, P.W., Steadman, R., Moseley, R. Journal of Investigative Dermatology (in preparation).</w:t>
      </w:r>
    </w:p>
    <w:p w:rsidR="00B30D12" w:rsidRPr="00B30D12" w:rsidRDefault="00B30D12" w:rsidP="00B30D12">
      <w:pPr>
        <w:pStyle w:val="ListParagraph"/>
        <w:numPr>
          <w:ilvl w:val="0"/>
          <w:numId w:val="3"/>
        </w:numPr>
        <w:rPr>
          <w:rFonts w:asciiTheme="majorHAnsi" w:hAnsiTheme="majorHAnsi"/>
          <w:sz w:val="18"/>
        </w:rPr>
      </w:pPr>
      <w:r w:rsidRPr="00B30D12">
        <w:rPr>
          <w:rFonts w:asciiTheme="majorHAnsi" w:hAnsiTheme="majorHAnsi"/>
          <w:sz w:val="18"/>
        </w:rPr>
        <w:t xml:space="preserve">Modulation of myofibroblast phenotype and extracellular matrix architecture by </w:t>
      </w:r>
      <w:proofErr w:type="spellStart"/>
      <w:r w:rsidRPr="00B30D12">
        <w:rPr>
          <w:rFonts w:asciiTheme="majorHAnsi" w:hAnsiTheme="majorHAnsi"/>
          <w:sz w:val="18"/>
        </w:rPr>
        <w:t>ingenol</w:t>
      </w:r>
      <w:proofErr w:type="spellEnd"/>
      <w:r w:rsidRPr="00B30D12">
        <w:rPr>
          <w:rFonts w:asciiTheme="majorHAnsi" w:hAnsiTheme="majorHAnsi"/>
          <w:sz w:val="18"/>
        </w:rPr>
        <w:t xml:space="preserve"> </w:t>
      </w:r>
      <w:proofErr w:type="spellStart"/>
      <w:r w:rsidRPr="00B30D12">
        <w:rPr>
          <w:rFonts w:asciiTheme="majorHAnsi" w:hAnsiTheme="majorHAnsi"/>
          <w:sz w:val="18"/>
        </w:rPr>
        <w:t>mebutate</w:t>
      </w:r>
      <w:proofErr w:type="spellEnd"/>
      <w:r w:rsidRPr="00B30D12">
        <w:rPr>
          <w:rFonts w:asciiTheme="majorHAnsi" w:hAnsiTheme="majorHAnsi"/>
          <w:sz w:val="18"/>
        </w:rPr>
        <w:t xml:space="preserve"> promotes scar tissue resolution via protein kinase C-δ. Kane-Maguire, N.L., Woods, E.L., </w:t>
      </w:r>
      <w:proofErr w:type="spellStart"/>
      <w:r w:rsidRPr="00B30D12">
        <w:rPr>
          <w:rFonts w:asciiTheme="majorHAnsi" w:hAnsiTheme="majorHAnsi"/>
          <w:sz w:val="18"/>
        </w:rPr>
        <w:t>Blackaby</w:t>
      </w:r>
      <w:proofErr w:type="spellEnd"/>
      <w:r w:rsidRPr="00B30D12">
        <w:rPr>
          <w:rFonts w:asciiTheme="majorHAnsi" w:hAnsiTheme="majorHAnsi"/>
          <w:sz w:val="18"/>
        </w:rPr>
        <w:t xml:space="preserve">, J.D., </w:t>
      </w:r>
      <w:proofErr w:type="spellStart"/>
      <w:r w:rsidRPr="00B30D12">
        <w:rPr>
          <w:rFonts w:asciiTheme="majorHAnsi" w:hAnsiTheme="majorHAnsi"/>
          <w:sz w:val="18"/>
        </w:rPr>
        <w:t>Bodenham</w:t>
      </w:r>
      <w:proofErr w:type="spellEnd"/>
      <w:r w:rsidRPr="00B30D12">
        <w:rPr>
          <w:rFonts w:asciiTheme="majorHAnsi" w:hAnsiTheme="majorHAnsi"/>
          <w:sz w:val="18"/>
        </w:rPr>
        <w:t xml:space="preserve">, T.J., Moses, R.L., </w:t>
      </w:r>
      <w:proofErr w:type="spellStart"/>
      <w:r w:rsidRPr="00B30D12">
        <w:rPr>
          <w:rFonts w:asciiTheme="majorHAnsi" w:hAnsiTheme="majorHAnsi"/>
          <w:sz w:val="18"/>
        </w:rPr>
        <w:t>Cozzi</w:t>
      </w:r>
      <w:proofErr w:type="spellEnd"/>
      <w:r w:rsidRPr="00B30D12">
        <w:rPr>
          <w:rFonts w:asciiTheme="majorHAnsi" w:hAnsiTheme="majorHAnsi"/>
          <w:sz w:val="18"/>
        </w:rPr>
        <w:t xml:space="preserve">, S.J., Boyle, G.M., Thomas, D.W., Steadman, R., </w:t>
      </w:r>
      <w:proofErr w:type="spellStart"/>
      <w:r w:rsidRPr="00B30D12">
        <w:rPr>
          <w:rFonts w:asciiTheme="majorHAnsi" w:hAnsiTheme="majorHAnsi"/>
          <w:sz w:val="18"/>
        </w:rPr>
        <w:t>Ogbourne</w:t>
      </w:r>
      <w:proofErr w:type="spellEnd"/>
      <w:r w:rsidRPr="00B30D12">
        <w:rPr>
          <w:rFonts w:asciiTheme="majorHAnsi" w:hAnsiTheme="majorHAnsi"/>
          <w:sz w:val="18"/>
        </w:rPr>
        <w:t>, S.M., Moseley, R. Journal of Investigative Dermatology (in preparation).</w:t>
      </w:r>
    </w:p>
    <w:p w:rsidR="00AE3E37" w:rsidRPr="00B30D12" w:rsidRDefault="00B30D12" w:rsidP="00B30D12">
      <w:pPr>
        <w:pStyle w:val="ListParagraph"/>
        <w:numPr>
          <w:ilvl w:val="0"/>
          <w:numId w:val="3"/>
        </w:numPr>
        <w:rPr>
          <w:rFonts w:asciiTheme="majorHAnsi" w:hAnsiTheme="majorHAnsi"/>
          <w:sz w:val="18"/>
        </w:rPr>
      </w:pPr>
      <w:r w:rsidRPr="00B30D12">
        <w:rPr>
          <w:rFonts w:asciiTheme="majorHAnsi" w:hAnsiTheme="majorHAnsi"/>
          <w:sz w:val="18"/>
        </w:rPr>
        <w:t xml:space="preserve">Oral Mucosal Lamina </w:t>
      </w:r>
      <w:proofErr w:type="spellStart"/>
      <w:r w:rsidRPr="00B30D12">
        <w:rPr>
          <w:rFonts w:asciiTheme="majorHAnsi" w:hAnsiTheme="majorHAnsi"/>
          <w:sz w:val="18"/>
        </w:rPr>
        <w:t>Propria</w:t>
      </w:r>
      <w:proofErr w:type="spellEnd"/>
      <w:r w:rsidRPr="00B30D12">
        <w:rPr>
          <w:rFonts w:asciiTheme="majorHAnsi" w:hAnsiTheme="majorHAnsi"/>
          <w:sz w:val="18"/>
        </w:rPr>
        <w:t xml:space="preserve">-Progenitor Cells Exert Antibacterial Properties via the Secretion of </w:t>
      </w:r>
      <w:proofErr w:type="spellStart"/>
      <w:r w:rsidRPr="00B30D12">
        <w:rPr>
          <w:rFonts w:asciiTheme="majorHAnsi" w:hAnsiTheme="majorHAnsi"/>
          <w:sz w:val="18"/>
        </w:rPr>
        <w:t>Osteoprotegerin</w:t>
      </w:r>
      <w:proofErr w:type="spellEnd"/>
      <w:r w:rsidRPr="00B30D12">
        <w:rPr>
          <w:rFonts w:asciiTheme="majorHAnsi" w:hAnsiTheme="majorHAnsi"/>
          <w:sz w:val="18"/>
        </w:rPr>
        <w:t xml:space="preserve"> and </w:t>
      </w:r>
      <w:proofErr w:type="spellStart"/>
      <w:r w:rsidRPr="00B30D12">
        <w:rPr>
          <w:rFonts w:asciiTheme="majorHAnsi" w:hAnsiTheme="majorHAnsi"/>
          <w:sz w:val="18"/>
        </w:rPr>
        <w:t>Haptoglobin</w:t>
      </w:r>
      <w:proofErr w:type="spellEnd"/>
      <w:r w:rsidRPr="00B30D12">
        <w:rPr>
          <w:rFonts w:asciiTheme="majorHAnsi" w:hAnsiTheme="majorHAnsi"/>
          <w:sz w:val="18"/>
        </w:rPr>
        <w:t>. Board-Davies E, Moses R, Sloan A, Stephens P, Davies LC. Stem Cells Translational Medicine 2015 (4:11:1283–1293).</w:t>
      </w:r>
    </w:p>
    <w:p w:rsidR="00AE3E37" w:rsidRPr="000D6982" w:rsidRDefault="008756E6">
      <w:pPr>
        <w:spacing w:line="200" w:lineRule="exact"/>
        <w:jc w:val="both"/>
        <w:rPr>
          <w:rFonts w:asciiTheme="majorHAnsi" w:hAnsiTheme="majorHAnsi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D6982">
        <w:rPr>
          <w:rFonts w:asciiTheme="majorHAnsi" w:hAnsiTheme="majorHAnsi"/>
        </w:rPr>
        <w:t xml:space="preserve">   </w:t>
      </w: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196F6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0428AA" w:rsidRDefault="008756E6" w:rsidP="00404E5B">
      <w:pPr>
        <w:spacing w:before="92"/>
        <w:ind w:right="4234"/>
        <w:rPr>
          <w:rFonts w:asciiTheme="majorHAnsi" w:hAnsiTheme="majorHAnsi"/>
          <w:noProof/>
        </w:rPr>
      </w:pPr>
      <w:r w:rsidRPr="000D6982">
        <w:rPr>
          <w:rFonts w:asciiTheme="majorHAnsi" w:hAnsiTheme="majorHAnsi"/>
          <w:noProof/>
        </w:rPr>
        <w:lastRenderedPageBreak/>
        <w:t xml:space="preserve">              </w:t>
      </w:r>
      <w:r w:rsidRPr="000D6982">
        <w:rPr>
          <w:rFonts w:asciiTheme="majorHAnsi" w:hAnsiTheme="majorHAnsi"/>
          <w:noProof/>
          <w:lang w:val="en-GB" w:eastAsia="en-GB"/>
        </w:rPr>
        <w:drawing>
          <wp:inline distT="0" distB="0" distL="0" distR="0" wp14:anchorId="043FF135" wp14:editId="24153E9F">
            <wp:extent cx="914400" cy="1233959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42" cy="124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041A28" w:rsidRDefault="00A9710C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color w:val="BF5A14"/>
          <w:sz w:val="18"/>
          <w:szCs w:val="18"/>
        </w:rPr>
        <w:t>Biography</w:t>
      </w:r>
      <w:r w:rsidR="00404E5B" w:rsidRPr="00041A28">
        <w:rPr>
          <w:rFonts w:asciiTheme="majorHAnsi" w:hAnsiTheme="majorHAnsi"/>
          <w:color w:val="BF5A14"/>
          <w:sz w:val="18"/>
          <w:szCs w:val="18"/>
        </w:rPr>
        <w:t xml:space="preserve"> (150 word limit)</w:t>
      </w:r>
    </w:p>
    <w:p w:rsidR="00A61D79" w:rsidRPr="00A61D79" w:rsidRDefault="00A61D79" w:rsidP="00A61D79">
      <w:pPr>
        <w:pStyle w:val="BodyText"/>
        <w:spacing w:line="276" w:lineRule="auto"/>
        <w:rPr>
          <w:rFonts w:asciiTheme="majorHAnsi" w:hAnsiTheme="majorHAnsi"/>
          <w:lang w:val="en-GB"/>
        </w:rPr>
      </w:pPr>
      <w:r w:rsidRPr="00A61D79">
        <w:rPr>
          <w:rFonts w:asciiTheme="majorHAnsi" w:hAnsiTheme="majorHAnsi"/>
          <w:lang w:val="en-GB"/>
        </w:rPr>
        <w:t>Dr Rachael Moses completed her PhD at Cardiff University in 2016 and is currently a Postdoctoral Research Associate at Cardiff University, UK. Dr Moses’s research focuses on elucidating the mechanisms underlying the novel epoxy-</w:t>
      </w:r>
      <w:proofErr w:type="spellStart"/>
      <w:r w:rsidRPr="00A61D79">
        <w:rPr>
          <w:rFonts w:asciiTheme="majorHAnsi" w:hAnsiTheme="majorHAnsi"/>
          <w:lang w:val="en-GB"/>
        </w:rPr>
        <w:t>tigliane</w:t>
      </w:r>
      <w:proofErr w:type="spellEnd"/>
      <w:r w:rsidRPr="00A61D79">
        <w:rPr>
          <w:rFonts w:asciiTheme="majorHAnsi" w:hAnsiTheme="majorHAnsi"/>
          <w:lang w:val="en-GB"/>
        </w:rPr>
        <w:t xml:space="preserve"> pharmaceuticals exceptional dermal wound healing responses. Dr Moses was awarded a travel bursary to visit a medical research </w:t>
      </w:r>
      <w:proofErr w:type="spellStart"/>
      <w:r w:rsidRPr="00A61D79">
        <w:rPr>
          <w:rFonts w:asciiTheme="majorHAnsi" w:hAnsiTheme="majorHAnsi"/>
          <w:lang w:val="en-GB"/>
        </w:rPr>
        <w:t>instititute</w:t>
      </w:r>
      <w:proofErr w:type="spellEnd"/>
      <w:r w:rsidRPr="00A61D79">
        <w:rPr>
          <w:rFonts w:asciiTheme="majorHAnsi" w:hAnsiTheme="majorHAnsi"/>
          <w:lang w:val="en-GB"/>
        </w:rPr>
        <w:t xml:space="preserve"> in Queensland, Australia, to undertake Microarray Analysis determining key genotypic changes following epoxy-</w:t>
      </w:r>
      <w:proofErr w:type="spellStart"/>
      <w:r w:rsidRPr="00A61D79">
        <w:rPr>
          <w:rFonts w:asciiTheme="majorHAnsi" w:hAnsiTheme="majorHAnsi"/>
          <w:lang w:val="en-GB"/>
        </w:rPr>
        <w:t>tigliane</w:t>
      </w:r>
      <w:proofErr w:type="spellEnd"/>
      <w:r w:rsidRPr="00A61D79">
        <w:rPr>
          <w:rFonts w:asciiTheme="majorHAnsi" w:hAnsiTheme="majorHAnsi"/>
          <w:lang w:val="en-GB"/>
        </w:rPr>
        <w:t xml:space="preserve"> treatment. Dr Moses has filed patents with an industrial partner in this sector (QBiotics Ltd.); and has been awarded conference prizes relating to this area.</w:t>
      </w: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0D6982" w:rsidRPr="00041A28" w:rsidRDefault="000D6982" w:rsidP="000D6982">
      <w:pPr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sz w:val="18"/>
          <w:szCs w:val="18"/>
        </w:rPr>
        <w:t>Keywords: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045F5D" w:rsidRPr="00045F5D">
        <w:rPr>
          <w:rFonts w:asciiTheme="majorHAnsi" w:hAnsiTheme="majorHAnsi"/>
          <w:sz w:val="18"/>
          <w:szCs w:val="18"/>
        </w:rPr>
        <w:t>Epoxy-</w:t>
      </w:r>
      <w:proofErr w:type="spellStart"/>
      <w:r w:rsidR="00045F5D" w:rsidRPr="00045F5D">
        <w:rPr>
          <w:rFonts w:asciiTheme="majorHAnsi" w:hAnsiTheme="majorHAnsi"/>
          <w:sz w:val="18"/>
          <w:szCs w:val="18"/>
        </w:rPr>
        <w:t>tiglianes</w:t>
      </w:r>
      <w:proofErr w:type="spellEnd"/>
      <w:r w:rsidR="00045F5D" w:rsidRPr="00045F5D">
        <w:rPr>
          <w:rFonts w:asciiTheme="majorHAnsi" w:hAnsiTheme="majorHAnsi"/>
          <w:sz w:val="18"/>
          <w:szCs w:val="18"/>
        </w:rPr>
        <w:t>, Re-epithelialization, Wound healing, Skin, Keratinocytes, Chronic wounds.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45F5D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Pr="00A61D79">
        <w:rPr>
          <w:rFonts w:asciiTheme="majorHAnsi" w:hAnsiTheme="majorHAnsi"/>
          <w:b/>
          <w:bCs/>
          <w:sz w:val="18"/>
          <w:szCs w:val="18"/>
        </w:rPr>
        <w:t xml:space="preserve"> Oral</w:t>
      </w:r>
      <w:r w:rsidRPr="00041A28">
        <w:rPr>
          <w:rFonts w:asciiTheme="majorHAnsi" w:hAnsiTheme="majorHAnsi"/>
          <w:bCs/>
          <w:sz w:val="18"/>
          <w:szCs w:val="18"/>
        </w:rPr>
        <w:t xml:space="preserve"> </w:t>
      </w:r>
      <w:r w:rsidRPr="00041A28">
        <w:rPr>
          <w:rFonts w:asciiTheme="majorHAnsi" w:hAnsiTheme="majorHAnsi"/>
          <w:bCs/>
          <w:sz w:val="18"/>
          <w:szCs w:val="18"/>
        </w:rPr>
        <w:tab/>
      </w:r>
    </w:p>
    <w:p w:rsidR="00045F5D" w:rsidRDefault="00045F5D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                         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="00045F5D">
        <w:rPr>
          <w:rFonts w:asciiTheme="majorHAnsi" w:hAnsiTheme="majorHAnsi"/>
          <w:b/>
          <w:bCs/>
          <w:sz w:val="18"/>
          <w:szCs w:val="18"/>
        </w:rPr>
        <w:t>Skin and Wound Healing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Pr="00041A28">
        <w:rPr>
          <w:rFonts w:asciiTheme="majorHAnsi" w:hAnsiTheme="majorHAnsi"/>
          <w:sz w:val="18"/>
          <w:szCs w:val="18"/>
        </w:rPr>
        <w:tab/>
      </w:r>
      <w:r w:rsidR="00A61D79" w:rsidRPr="00A61D79">
        <w:rPr>
          <w:rFonts w:asciiTheme="majorHAnsi" w:hAnsiTheme="majorHAnsi"/>
          <w:sz w:val="18"/>
          <w:szCs w:val="18"/>
          <w:lang w:val="en-GB"/>
        </w:rPr>
        <w:t>Dr Rachael Moses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A61D79" w:rsidRPr="00A61D79">
        <w:rPr>
          <w:rFonts w:asciiTheme="majorHAnsi" w:hAnsiTheme="majorHAnsi"/>
          <w:sz w:val="18"/>
          <w:szCs w:val="18"/>
          <w:lang w:val="en-GB"/>
        </w:rPr>
        <w:t>MosesR@cardiff.ac.uk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</w:r>
      <w:r w:rsidR="00A61D79">
        <w:rPr>
          <w:rFonts w:asciiTheme="majorHAnsi" w:hAnsiTheme="majorHAnsi"/>
          <w:sz w:val="18"/>
          <w:szCs w:val="18"/>
        </w:rPr>
        <w:tab/>
        <w:t xml:space="preserve">       Cardiff University</w:t>
      </w:r>
      <w:r w:rsidRPr="00041A28">
        <w:rPr>
          <w:rFonts w:asciiTheme="majorHAnsi" w:hAnsiTheme="majorHAnsi"/>
          <w:sz w:val="18"/>
          <w:szCs w:val="18"/>
        </w:rPr>
        <w:t xml:space="preserve">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0428AA">
        <w:rPr>
          <w:rFonts w:asciiTheme="majorHAnsi" w:hAnsiTheme="majorHAnsi"/>
          <w:sz w:val="18"/>
          <w:szCs w:val="18"/>
        </w:rPr>
        <w:t xml:space="preserve">Cardiff, U.K. </w:t>
      </w:r>
    </w:p>
    <w:p w:rsidR="00AE3E37" w:rsidRPr="000D6982" w:rsidRDefault="000D6982" w:rsidP="000428AA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0428AA">
        <w:rPr>
          <w:rFonts w:asciiTheme="majorHAnsi" w:hAnsiTheme="majorHAnsi"/>
          <w:sz w:val="18"/>
          <w:szCs w:val="18"/>
        </w:rPr>
        <w:t xml:space="preserve">+44 (0)2920 745029 </w:t>
      </w: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sectPr w:rsidR="00AE3E37" w:rsidRPr="000D698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120" w:rsidRDefault="005D2120">
      <w:r>
        <w:separator/>
      </w:r>
    </w:p>
  </w:endnote>
  <w:endnote w:type="continuationSeparator" w:id="0">
    <w:p w:rsidR="005D2120" w:rsidRDefault="005D2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120" w:rsidRDefault="005D2120">
      <w:r>
        <w:separator/>
      </w:r>
    </w:p>
  </w:footnote>
  <w:footnote w:type="continuationSeparator" w:id="0">
    <w:p w:rsidR="005D2120" w:rsidRDefault="005D2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1A28"/>
    <w:rsid w:val="000428AA"/>
    <w:rsid w:val="00045F5D"/>
    <w:rsid w:val="000A195E"/>
    <w:rsid w:val="000C56F8"/>
    <w:rsid w:val="000D6982"/>
    <w:rsid w:val="000E2911"/>
    <w:rsid w:val="001263DF"/>
    <w:rsid w:val="00292ED9"/>
    <w:rsid w:val="002D2F43"/>
    <w:rsid w:val="003B4007"/>
    <w:rsid w:val="00404E5B"/>
    <w:rsid w:val="00414F7B"/>
    <w:rsid w:val="004355DC"/>
    <w:rsid w:val="004749B4"/>
    <w:rsid w:val="00494130"/>
    <w:rsid w:val="004F3523"/>
    <w:rsid w:val="005973B9"/>
    <w:rsid w:val="005B3A56"/>
    <w:rsid w:val="005D2120"/>
    <w:rsid w:val="006060CE"/>
    <w:rsid w:val="0063497F"/>
    <w:rsid w:val="008112B9"/>
    <w:rsid w:val="00873DF0"/>
    <w:rsid w:val="008756E6"/>
    <w:rsid w:val="009634C7"/>
    <w:rsid w:val="009B2D44"/>
    <w:rsid w:val="009F2E2F"/>
    <w:rsid w:val="00A07E82"/>
    <w:rsid w:val="00A61D79"/>
    <w:rsid w:val="00A9710C"/>
    <w:rsid w:val="00AE3E37"/>
    <w:rsid w:val="00B21A57"/>
    <w:rsid w:val="00B30D12"/>
    <w:rsid w:val="00C33602"/>
    <w:rsid w:val="00CD468D"/>
    <w:rsid w:val="00CD6F55"/>
    <w:rsid w:val="00CE7CFA"/>
    <w:rsid w:val="00D54ED9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E71AE1-BABF-4F56-BDDF-88E0A0D9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82567F55</Template>
  <TotalTime>86</TotalTime>
  <Pages>2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insrv</cp:lastModifiedBy>
  <cp:revision>8</cp:revision>
  <dcterms:created xsi:type="dcterms:W3CDTF">2018-02-20T14:57:00Z</dcterms:created>
  <dcterms:modified xsi:type="dcterms:W3CDTF">2018-02-21T17:27:00Z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