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widowControl w:val="1"/>
        <w:pBdr>
          <w:top w:val="nil"/>
          <w:left w:val="nil"/>
          <w:bottom w:val="nil"/>
          <w:right w:val="nil"/>
        </w:pBdr>
        <w:rPr>
          <w:rFonts w:ascii="Helvetica" w:cs="Helvetica" w:hAnsi="Helvetica" w:eastAsia="Helvetica"/>
          <w:sz w:val="22"/>
          <w:szCs w:val="22"/>
        </w:rPr>
      </w:pPr>
      <w:r>
        <w:rPr>
          <w:rFonts w:ascii="Helvetica"/>
          <w:sz w:val="22"/>
          <w:szCs w:val="22"/>
          <w:rtl w:val="0"/>
          <w:lang w:val="en-US"/>
        </w:rPr>
        <w:t>Translating Wound Management</w:t>
      </w:r>
    </w:p>
    <w:p>
      <w:pPr>
        <w:pStyle w:val="Body Text"/>
        <w:widowControl w:val="1"/>
        <w:pBdr>
          <w:top w:val="nil"/>
          <w:left w:val="nil"/>
          <w:bottom w:val="nil"/>
          <w:right w:val="nil"/>
        </w:pBdr>
        <w:rPr>
          <w:rFonts w:ascii="Helvetica" w:cs="Helvetica" w:hAnsi="Helvetica" w:eastAsia="Helvetica"/>
          <w:color w:val="337ab7"/>
          <w:sz w:val="22"/>
          <w:szCs w:val="22"/>
          <w:u w:color="337ab7"/>
        </w:rPr>
      </w:pPr>
    </w:p>
    <w:p>
      <w:pPr>
        <w:pStyle w:val="Body Text"/>
        <w:widowControl w:val="1"/>
        <w:pBdr>
          <w:top w:val="nil"/>
          <w:left w:val="nil"/>
          <w:bottom w:val="nil"/>
          <w:right w:val="nil"/>
        </w:pBdr>
        <w:rPr>
          <w:rFonts w:ascii="Helvetica" w:cs="Helvetica" w:hAnsi="Helvetica" w:eastAsia="Helvetica"/>
          <w:sz w:val="22"/>
          <w:szCs w:val="22"/>
          <w:rtl w:val="0"/>
          <w:lang w:val="en-US"/>
        </w:rPr>
      </w:pPr>
      <w:r>
        <w:rPr>
          <w:rFonts w:ascii="Helvetica"/>
          <w:sz w:val="22"/>
          <w:szCs w:val="22"/>
          <w:rtl w:val="0"/>
          <w:lang w:val="en-US"/>
        </w:rPr>
        <w:t xml:space="preserve">Sandeep Shrivastava 1; Romil Rathi </w:t>
      </w:r>
      <w:r>
        <w:rPr>
          <w:rFonts w:ascii="Helvetica"/>
          <w:sz w:val="22"/>
          <w:szCs w:val="22"/>
          <w:rtl w:val="0"/>
          <w:lang w:val="en-US"/>
        </w:rPr>
        <w:t>2 , Roopam Shyam 3</w:t>
      </w:r>
    </w:p>
    <w:p>
      <w:pPr>
        <w:pStyle w:val="Body Text"/>
        <w:widowControl w:val="1"/>
        <w:pBdr>
          <w:top w:val="nil"/>
          <w:left w:val="nil"/>
          <w:bottom w:val="nil"/>
          <w:right w:val="nil"/>
        </w:pBdr>
        <w:rPr>
          <w:rFonts w:ascii="Helvetica" w:cs="Helvetica" w:hAnsi="Helvetica" w:eastAsia="Helvetica"/>
          <w:sz w:val="22"/>
          <w:szCs w:val="22"/>
          <w:rtl w:val="0"/>
          <w:lang w:val="en-US"/>
        </w:rPr>
      </w:pPr>
      <w:r>
        <w:rPr>
          <w:rFonts w:ascii="Helvetica"/>
          <w:sz w:val="22"/>
          <w:szCs w:val="22"/>
          <w:rtl w:val="0"/>
          <w:lang w:val="en-US"/>
        </w:rPr>
        <w:t>1</w:t>
      </w:r>
      <w:r>
        <w:rPr>
          <w:rFonts w:ascii="Helvetica"/>
          <w:sz w:val="22"/>
          <w:szCs w:val="22"/>
          <w:rtl w:val="0"/>
          <w:lang w:val="en-US"/>
        </w:rPr>
        <w:t xml:space="preserve">,2 </w:t>
      </w:r>
      <w:r>
        <w:rPr>
          <w:rFonts w:ascii="Helvetica"/>
          <w:sz w:val="22"/>
          <w:szCs w:val="22"/>
          <w:rtl w:val="0"/>
          <w:lang w:val="en-US"/>
        </w:rPr>
        <w:t>Datta Meghe Institute of Medical Sciences (DU) , Sawangi , Meghe ,Wardha, MS, India.</w:t>
      </w:r>
    </w:p>
    <w:p>
      <w:pPr>
        <w:pStyle w:val="Body Text"/>
        <w:widowControl w:val="1"/>
        <w:pBdr>
          <w:top w:val="nil"/>
          <w:left w:val="nil"/>
          <w:bottom w:val="nil"/>
          <w:right w:val="nil"/>
        </w:pBdr>
        <w:rPr>
          <w:rFonts w:ascii="Helvetica" w:cs="Helvetica" w:hAnsi="Helvetica" w:eastAsia="Helvetica"/>
          <w:sz w:val="22"/>
          <w:szCs w:val="22"/>
        </w:rPr>
      </w:pPr>
      <w:r>
        <w:rPr>
          <w:rFonts w:ascii="Helvetica"/>
          <w:sz w:val="22"/>
          <w:szCs w:val="22"/>
          <w:rtl w:val="0"/>
          <w:lang w:val="en-US"/>
        </w:rPr>
        <w:t>3 Kare Konnect , USA</w:t>
      </w: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3"/>
        <w:rPr>
          <w:rFonts w:ascii="Arial" w:cs="Arial" w:hAnsi="Arial" w:eastAsia="Arial"/>
          <w:sz w:val="21"/>
          <w:szCs w:val="21"/>
        </w:rPr>
      </w:pPr>
    </w:p>
    <w:p>
      <w:pPr>
        <w:pStyle w:val="Body"/>
        <w:sectPr>
          <w:headerReference w:type="default" r:id="rId4"/>
          <w:footerReference w:type="default" r:id="rId5"/>
          <w:pgSz w:w="11920" w:h="16840" w:orient="portrait"/>
          <w:pgMar w:top="1740" w:right="600" w:bottom="840" w:left="620" w:header="541" w:footer="642"/>
          <w:bidi w:val="0"/>
        </w:sectPr>
      </w:pPr>
    </w:p>
    <w:p>
      <w:pPr>
        <w:pStyle w:val="Heading 3"/>
        <w:spacing w:before="147"/>
        <w:jc w:val="both"/>
        <w:rPr>
          <w:color w:val="bf5a14"/>
          <w:u w:color="bf5a14"/>
          <w:rtl w:val="0"/>
        </w:rPr>
      </w:pPr>
      <w:r>
        <w:rPr>
          <w:color w:val="bf5a14"/>
          <w:u w:color="bf5a14"/>
          <w:rtl w:val="0"/>
          <w:lang w:val="en-US"/>
        </w:rPr>
        <w:t>Abstract (300 word limit)</w:t>
      </w:r>
    </w:p>
    <w:p>
      <w:pPr>
        <w:pStyle w:val="Body Text"/>
        <w:spacing w:before="90" w:line="280" w:lineRule="auto"/>
        <w:ind w:left="100" w:firstLine="0"/>
        <w:jc w:val="both"/>
      </w:pPr>
      <w:r>
        <w:rPr>
          <w:rtl w:val="0"/>
          <w:lang w:val="en-US"/>
        </w:rPr>
        <w:t xml:space="preserve">Statement of the Problem: </w:t>
      </w:r>
      <w:r>
        <w:rPr>
          <w:rtl w:val="0"/>
          <w:lang w:val="en-US"/>
        </w:rPr>
        <w:t xml:space="preserve">A open injury is associated with loss of skin, exposure of underlying tendons, bones ; leading to necrosis and infection. </w:t>
      </w:r>
      <w:r>
        <w:rPr>
          <w:rtl w:val="0"/>
          <w:lang w:val="en-US"/>
        </w:rPr>
        <w:t>From local applications, antibiotics to medical devices , many intense treatments are in vogue.</w:t>
      </w:r>
      <w:r>
        <w:rPr>
          <w:rtl w:val="0"/>
          <w:lang w:val="en-US"/>
        </w:rPr>
        <w:t xml:space="preserve"> It takes huge resources in terms of experts, health care setting and finances to deal. </w:t>
      </w:r>
      <w:r>
        <w:rPr>
          <w:rtl w:val="0"/>
          <w:lang w:val="en-US"/>
        </w:rPr>
        <w:t>The wound management is a huge challenge</w:t>
      </w:r>
      <w:r>
        <w:rPr>
          <w:rtl w:val="0"/>
          <w:lang w:val="en-US"/>
        </w:rPr>
        <w:t>.World over billions of US dollars are spent annually on this.</w:t>
      </w:r>
      <w:r>
        <w:rPr>
          <w:rtl w:val="0"/>
          <w:lang w:val="en-US"/>
        </w:rPr>
        <w:t xml:space="preserve">It is expected that the recent development of </w:t>
      </w:r>
      <w:r>
        <w:rPr>
          <w:rFonts w:hAnsi="Tw Cen MT" w:hint="default"/>
          <w:rtl w:val="0"/>
          <w:lang w:val="en-US"/>
        </w:rPr>
        <w:t>“</w:t>
      </w:r>
      <w:r>
        <w:rPr>
          <w:rtl w:val="0"/>
          <w:lang w:val="en-US"/>
        </w:rPr>
        <w:t>biologics led therapy</w:t>
      </w:r>
      <w:r>
        <w:rPr>
          <w:rFonts w:hAnsi="Tw Cen MT" w:hint="default"/>
          <w:rtl w:val="0"/>
          <w:lang w:val="en-US"/>
        </w:rPr>
        <w:t xml:space="preserve">” </w:t>
      </w:r>
      <w:r>
        <w:rPr>
          <w:rtl w:val="0"/>
          <w:lang w:val="en-US"/>
        </w:rPr>
        <w:t xml:space="preserve">should translate the wound management. In recent times specially after 2009 , Platelet Rich Plasma (PRP) , is been clinically used as an important therapeutic biologic product. </w:t>
      </w:r>
      <w:r>
        <w:rPr>
          <w:rtl w:val="0"/>
          <w:lang w:val="en-US"/>
        </w:rPr>
        <w:t xml:space="preserve">The purpose of this paper is to evaluate the </w:t>
      </w:r>
      <w:r>
        <w:rPr>
          <w:rtl w:val="0"/>
          <w:lang w:val="en-US"/>
        </w:rPr>
        <w:t xml:space="preserve">results pertaining to </w:t>
      </w:r>
      <w:r>
        <w:rPr>
          <w:rtl w:val="0"/>
          <w:lang w:val="en-US"/>
        </w:rPr>
        <w:t xml:space="preserve">open </w:t>
      </w:r>
      <w:r>
        <w:rPr>
          <w:rtl w:val="0"/>
          <w:lang w:val="en-US"/>
        </w:rPr>
        <w:t xml:space="preserve">wounds treated with </w:t>
      </w:r>
      <w:r>
        <w:rPr>
          <w:rtl w:val="0"/>
          <w:lang w:val="en-US"/>
        </w:rPr>
        <w:t>PRP</w:t>
      </w:r>
      <w:r>
        <w:rPr>
          <w:rtl w:val="0"/>
          <w:lang w:val="en-US"/>
        </w:rPr>
        <w:t xml:space="preserve"> including wounds associated with </w:t>
      </w:r>
      <w:r>
        <w:rPr>
          <w:rtl w:val="0"/>
          <w:lang w:val="en-US"/>
        </w:rPr>
        <w:t>fractures,</w:t>
      </w:r>
      <w:r>
        <w:rPr>
          <w:rtl w:val="0"/>
          <w:lang w:val="en-US"/>
        </w:rPr>
        <w:t xml:space="preserve">infections, necrosis and non healing. </w:t>
      </w:r>
      <w:r>
        <w:rPr>
          <w:rtl w:val="0"/>
          <w:lang w:val="en-US"/>
        </w:rPr>
        <w:t>An analysis of 125 different wounds is done.</w:t>
      </w:r>
      <w:r>
        <w:rPr>
          <w:rtl w:val="0"/>
          <w:lang w:val="en-US"/>
        </w:rPr>
        <w:t xml:space="preserve"> Methodology &amp; Theoretical Orientation: At our centre a Biotechnological intervention with PRP is under way. A clinical protocol </w:t>
      </w:r>
      <w:r>
        <w:rPr>
          <w:rFonts w:hAnsi="Tw Cen MT" w:hint="default"/>
          <w:rtl w:val="0"/>
          <w:lang w:val="en-US"/>
        </w:rPr>
        <w:t>“</w:t>
      </w:r>
      <w:r>
        <w:rPr>
          <w:rtl w:val="0"/>
          <w:lang w:val="en-US"/>
        </w:rPr>
        <w:t>STARS therapy</w:t>
      </w:r>
      <w:r>
        <w:rPr>
          <w:rFonts w:hAnsi="Tw Cen MT" w:hint="default"/>
          <w:rtl w:val="0"/>
          <w:lang w:val="en-US"/>
        </w:rPr>
        <w:t xml:space="preserve">” </w:t>
      </w:r>
      <w:r>
        <w:rPr>
          <w:rtl w:val="0"/>
          <w:lang w:val="en-US"/>
        </w:rPr>
        <w:t>( Sandeep</w:t>
      </w:r>
      <w:r>
        <w:rPr>
          <w:rFonts w:hAnsi="Tw Cen MT" w:hint="default"/>
          <w:rtl w:val="0"/>
          <w:lang w:val="en-US"/>
        </w:rPr>
        <w:t>’</w:t>
      </w:r>
      <w:r>
        <w:rPr>
          <w:rtl w:val="0"/>
          <w:lang w:val="en-US"/>
        </w:rPr>
        <w:t xml:space="preserve">s Technique for Assisted Regeneration of Skin). has been developed for wound management. It is a </w:t>
      </w:r>
      <w:r>
        <w:rPr>
          <w:rFonts w:hAnsi="Tw Cen MT" w:hint="default"/>
          <w:rtl w:val="0"/>
          <w:lang w:val="en-US"/>
        </w:rPr>
        <w:t>“</w:t>
      </w:r>
      <w:r>
        <w:rPr>
          <w:rtl w:val="0"/>
          <w:lang w:val="en-US"/>
        </w:rPr>
        <w:t>PRP mono-therapy</w:t>
      </w:r>
      <w:r>
        <w:rPr>
          <w:rFonts w:hAnsi="Tw Cen MT" w:hint="default"/>
          <w:rtl w:val="0"/>
          <w:lang w:val="en-US"/>
        </w:rPr>
        <w:t xml:space="preserve">” </w:t>
      </w:r>
      <w:r>
        <w:rPr>
          <w:rtl w:val="0"/>
          <w:lang w:val="en-US"/>
        </w:rPr>
        <w:t>and do not need any drugs , dressing or surgeries. Its based on tissue reengineering of wounds and assisted growth of skin by serial PRP infiltration</w:t>
      </w:r>
      <w:r>
        <w:rPr>
          <w:rFonts w:hAnsi="Tw Cen MT" w:hint="default"/>
          <w:rtl w:val="0"/>
          <w:lang w:val="en-US"/>
        </w:rPr>
        <w:t>’</w:t>
      </w:r>
      <w:r>
        <w:rPr>
          <w:rtl w:val="0"/>
          <w:lang w:val="en-US"/>
        </w:rPr>
        <w:t>s.</w:t>
      </w:r>
    </w:p>
    <w:p>
      <w:pPr>
        <w:pStyle w:val="Body Text"/>
        <w:widowControl w:val="1"/>
        <w:pBdr>
          <w:top w:val="nil"/>
          <w:left w:val="nil"/>
          <w:bottom w:val="nil"/>
          <w:right w:val="nil"/>
        </w:pBdr>
      </w:pPr>
      <w:r>
        <w:rPr>
          <w:rtl w:val="0"/>
          <w:lang w:val="en-US"/>
        </w:rPr>
        <w:t>. Findings: A complete cure of wound has been established using  regenerative medicine product in a standardised manner</w:t>
      </w:r>
      <w:r>
        <w:rPr>
          <w:rtl w:val="0"/>
          <w:lang w:val="en-US"/>
        </w:rPr>
        <w:t xml:space="preserve">, including control of infection, tissue regeneration and skin coverage. </w:t>
      </w:r>
      <w:r>
        <w:rPr>
          <w:rtl w:val="0"/>
          <w:lang w:val="en-US"/>
        </w:rPr>
        <w:t>The therapy is developed with intentions to keep it very simple , so that every doctor / nursing personnel can easily impart it . Perhaps for the first time in the clinical care a simple regenerative medicine therapy protocol is developed towards wide applicability, safety , feasibility , easy accessibility and cost effectivity .</w:t>
      </w:r>
    </w:p>
    <w:p>
      <w:pPr>
        <w:pStyle w:val="Body Text"/>
        <w:widowControl w:val="1"/>
      </w:pPr>
      <w:r>
        <w:rPr>
          <w:rtl w:val="0"/>
          <w:lang w:val="en-US"/>
        </w:rPr>
        <w:t>. Conclusion &amp; Significance: This study concludes that this translational clinical research has immense potential for future wound care management in terms of taking out many complexities of current intense wound management.</w:t>
      </w:r>
    </w:p>
    <w:p>
      <w:pPr>
        <w:pStyle w:val="Body"/>
        <w:spacing w:line="204" w:lineRule="exact"/>
        <w:rPr>
          <w:sz w:val="18"/>
          <w:szCs w:val="18"/>
        </w:rPr>
      </w:pPr>
    </w:p>
    <w:p>
      <w:pPr>
        <w:pStyle w:val="Body"/>
        <w:spacing w:line="204" w:lineRule="exact"/>
        <w:rPr>
          <w:b w:val="1"/>
          <w:bCs w:val="1"/>
          <w:sz w:val="18"/>
          <w:szCs w:val="18"/>
        </w:rPr>
      </w:pPr>
      <w:r>
        <w:rPr>
          <w:b w:val="1"/>
          <w:bCs w:val="1"/>
          <w:color w:val="bf5a14"/>
          <w:sz w:val="18"/>
          <w:szCs w:val="18"/>
          <w:u w:color="bf5a14"/>
          <w:rtl w:val="0"/>
          <w:lang w:val="fr-FR"/>
        </w:rPr>
        <w:t>Recent Publications (minimum 5)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r>
        <w:rPr>
          <w:rFonts w:ascii="Tw Cen MT"/>
          <w:sz w:val="18"/>
          <w:szCs w:val="18"/>
          <w:rtl w:val="0"/>
          <w:lang w:val="en-US"/>
        </w:rPr>
        <w:t xml:space="preserve">Waniczek DA1, </w:t>
      </w:r>
      <w:hyperlink r:id="rId6" w:history="1">
        <w:r>
          <w:rPr>
            <w:rStyle w:val="Hyperlink.1"/>
            <w:rFonts w:ascii="Tw Cen MT"/>
            <w:sz w:val="18"/>
            <w:szCs w:val="18"/>
            <w:rtl w:val="0"/>
            <w:lang w:val="en-US"/>
          </w:rPr>
          <w:t>Rudzki MK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7" w:history="1">
        <w:r>
          <w:rPr>
            <w:rStyle w:val="Hyperlink.2"/>
            <w:rFonts w:ascii="Tw Cen MT"/>
            <w:sz w:val="18"/>
            <w:szCs w:val="18"/>
            <w:rtl w:val="0"/>
            <w:lang w:val="en-US"/>
          </w:rPr>
          <w:t>Buda KK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8" w:history="1">
        <w:r>
          <w:rPr>
            <w:rStyle w:val="Hyperlink.3"/>
            <w:rFonts w:ascii="Tw Cen MT"/>
            <w:sz w:val="18"/>
            <w:szCs w:val="18"/>
            <w:rtl w:val="0"/>
            <w:lang w:val="en-US"/>
          </w:rPr>
          <w:t>Arendt J</w:t>
        </w:r>
      </w:hyperlink>
      <w:r>
        <w:rPr>
          <w:rFonts w:ascii="Tw Cen MT"/>
          <w:sz w:val="18"/>
          <w:szCs w:val="18"/>
          <w:rtl w:val="0"/>
          <w:lang w:val="en-US"/>
        </w:rPr>
        <w:t>.-Searchi</w:t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530859</wp:posOffset>
                </wp:positionH>
                <wp:positionV relativeFrom="page">
                  <wp:posOffset>7825740</wp:posOffset>
                </wp:positionV>
                <wp:extent cx="1325881" cy="642620"/>
                <wp:effectExtent l="0" t="0" r="0" b="0"/>
                <wp:wrapThrough wrapText="bothSides" distL="152400" distR="152400">
                  <wp:wrapPolygon edited="1">
                    <wp:start x="-414" y="-854"/>
                    <wp:lineTo x="-414" y="67874"/>
                    <wp:lineTo x="21931" y="67874"/>
                    <wp:lineTo x="21931" y="-854"/>
                    <wp:lineTo x="-414" y="-854"/>
                  </wp:wrapPolygon>
                </wp:wrapThrough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881" cy="642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2088" w:type="dxa"/>
                              <w:tblInd w:w="2" w:type="dxa"/>
                              <w:tblBorders>
                                <w:top w:val="single" w:color="000000" w:sz="2" w:space="0" w:shadow="0" w:frame="0"/>
                                <w:left w:val="single" w:color="000000" w:sz="2" w:space="0" w:shadow="0" w:frame="0"/>
                                <w:bottom w:val="single" w:color="000000" w:sz="2" w:space="0" w:shadow="0" w:frame="0"/>
                                <w:right w:val="single" w:color="000000" w:sz="2" w:space="0" w:shadow="0" w:frame="0"/>
                                <w:insideH w:val="single" w:color="000000" w:sz="2" w:space="0" w:shadow="0" w:frame="0"/>
                                <w:insideV w:val="single" w:color="000000" w:sz="2" w:space="0" w:shadow="0" w:frame="0"/>
                              </w:tblBorders>
                              <w:shd w:val="clear" w:color="auto" w:fill="auto"/>
                              <w:tblLayout w:type="fixed"/>
                            </w:tblPr>
                            <w:tblGrid>
                              <w:gridCol w:w="2088"/>
                            </w:tblGrid>
                            <w:tr>
                              <w:tblPrEx>
                                <w:shd w:val="clear" w:color="auto" w:fill="auto"/>
                              </w:tblPrEx>
                              <w:trPr>
                                <w:trHeight w:val="2980" w:hRule="atLeast"/>
                              </w:trPr>
                              <w:tc>
                                <w:tcPr>
                                  <w:tcW w:type="dxa" w:w="2088"/>
                                  <w:tcBorders>
                                    <w:top w:val="single" w:color="000000" w:sz="2" w:space="0" w:shadow="0" w:frame="0"/>
                                    <w:left w:val="single" w:color="000000" w:sz="2" w:space="0" w:shadow="0" w:frame="0"/>
                                    <w:bottom w:val="single" w:color="000000" w:sz="2" w:space="0" w:shadow="0" w:frame="0"/>
                                    <w:right w:val="single" w:color="000000" w:sz="2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Body A"/>
                                    <w:jc w:val="center"/>
                                    <w:rPr>
                                      <w:rFonts w:ascii="Times New Roman" w:cs="Times New Roman" w:hAnsi="Times New Roman" w:eastAsia="Times New Roman"/>
                                      <w:lang w:val="en-US"/>
                                    </w:rPr>
                                  </w:pPr>
                                </w:p>
                                <w:p>
                                  <w:pPr>
                                    <w:pStyle w:val="Body A"/>
                                    <w:jc w:val="center"/>
                                    <w:rPr>
                                      <w:rFonts w:ascii="Times New Roman" w:cs="Times New Roman" w:hAnsi="Times New Roman" w:eastAsia="Times New Roman"/>
                                      <w:lang w:val="en-US"/>
                                    </w:rPr>
                                  </w:pPr>
                                </w:p>
                                <w:p>
                                  <w:pPr>
                                    <w:pStyle w:val="Body A"/>
                                    <w:jc w:val="center"/>
                                    <w:rPr>
                                      <w:rFonts w:ascii="Times New Roman" w:cs="Times New Roman" w:hAnsi="Times New Roman" w:eastAsia="Times New Roman"/>
                                      <w:lang w:val="en-US"/>
                                    </w:rPr>
                                  </w:pPr>
                                </w:p>
                                <w:p>
                                  <w:pPr>
                                    <w:pStyle w:val="Body A"/>
                                    <w:jc w:val="center"/>
                                  </w:pPr>
                                  <w:r>
                                    <w:rPr>
                                      <w:rFonts w:ascii="Times New Roman" w:cs="Times New Roman" w:hAnsi="Times New Roman" w:eastAsia="Times New Roman"/>
                                      <w:sz w:val="24"/>
                                      <w:szCs w:val="24"/>
                                      <w:lang w:val="en-US"/>
                                    </w:rPr>
                                    <w:drawing>
                                      <wp:inline distT="0" distB="0" distL="0" distR="0">
                                        <wp:extent cx="1423873" cy="1208172"/>
                                        <wp:effectExtent l="0" t="0" r="0" b="0"/>
                                        <wp:docPr id="1073741842" name="officeArt object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73741842" name="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/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23873" cy="120817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effectLst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cs="Times New Roman" w:hAnsi="Times New Roman" w:eastAsia="Times New Roman"/>
                                      <w:sz w:val="24"/>
                                      <w:szCs w:val="24"/>
                                      <w:lang w:val="en-US"/>
                                    </w:rPr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41.8pt;margin-top:616.2pt;width:104.4pt;height:5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0.8pt" dashstyle="solid" endcap="flat" joinstyle="bevel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2088" w:type="dxa"/>
                        <w:tblInd w:w="2" w:type="dxa"/>
                        <w:tblBorders>
                          <w:top w:val="single" w:color="000000" w:sz="2" w:space="0" w:shadow="0" w:frame="0"/>
                          <w:left w:val="single" w:color="000000" w:sz="2" w:space="0" w:shadow="0" w:frame="0"/>
                          <w:bottom w:val="single" w:color="000000" w:sz="2" w:space="0" w:shadow="0" w:frame="0"/>
                          <w:right w:val="single" w:color="000000" w:sz="2" w:space="0" w:shadow="0" w:frame="0"/>
                          <w:insideH w:val="single" w:color="000000" w:sz="2" w:space="0" w:shadow="0" w:frame="0"/>
                          <w:insideV w:val="single" w:color="000000" w:sz="2" w:space="0" w:shadow="0" w:frame="0"/>
                        </w:tblBorders>
                        <w:shd w:val="clear" w:color="auto" w:fill="auto"/>
                        <w:tblLayout w:type="fixed"/>
                      </w:tblPr>
                      <w:tblGrid>
                        <w:gridCol w:w="2088"/>
                      </w:tblGrid>
                      <w:tr>
                        <w:tblPrEx>
                          <w:shd w:val="clear" w:color="auto" w:fill="auto"/>
                        </w:tblPrEx>
                        <w:trPr>
                          <w:trHeight w:val="2980" w:hRule="atLeast"/>
                        </w:trPr>
                        <w:tc>
                          <w:tcPr>
                            <w:tcW w:type="dxa" w:w="2088"/>
                            <w:tcBorders>
                              <w:top w:val="single" w:color="000000" w:sz="2" w:space="0" w:shadow="0" w:frame="0"/>
                              <w:left w:val="single" w:color="000000" w:sz="2" w:space="0" w:shadow="0" w:frame="0"/>
                              <w:bottom w:val="single" w:color="000000" w:sz="2" w:space="0" w:shadow="0" w:frame="0"/>
                              <w:right w:val="single" w:color="000000" w:sz="2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Body A"/>
                              <w:jc w:val="center"/>
                              <w:rPr>
                                <w:rFonts w:ascii="Times New Roman" w:cs="Times New Roman" w:hAnsi="Times New Roman" w:eastAsia="Times New Roman"/>
                                <w:lang w:val="en-US"/>
                              </w:rPr>
                            </w:pP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Times New Roman" w:cs="Times New Roman" w:hAnsi="Times New Roman" w:eastAsia="Times New Roman"/>
                                <w:lang w:val="en-US"/>
                              </w:rPr>
                            </w:pP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Times New Roman" w:cs="Times New Roman" w:hAnsi="Times New Roman" w:eastAsia="Times New Roman"/>
                                <w:lang w:val="en-US"/>
                              </w:rPr>
                            </w:pPr>
                          </w:p>
                          <w:p>
                            <w:pPr>
                              <w:pStyle w:val="Body A"/>
                              <w:jc w:val="center"/>
                            </w:pPr>
                            <w:r>
                              <w:rPr>
                                <w:rFonts w:ascii="Times New Roman" w:cs="Times New Roman" w:hAnsi="Times New Roman" w:eastAsia="Times New Roman"/>
                                <w:sz w:val="24"/>
                                <w:szCs w:val="24"/>
                                <w:lang w:val="en-US"/>
                              </w:rPr>
                              <w:drawing>
                                <wp:inline distT="0" distB="0" distL="0" distR="0">
                                  <wp:extent cx="1423873" cy="1208172"/>
                                  <wp:effectExtent l="0" t="0" r="0" b="0"/>
                                  <wp:docPr id="1073741842" name="officeArt objec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42" name="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23873" cy="12081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cs="Times New Roman" w:hAnsi="Times New Roman" w:eastAsia="Times New Roman"/>
                                <w:sz w:val="24"/>
                                <w:szCs w:val="24"/>
                                <w:lang w:val="en-US"/>
                              </w:rPr>
                            </w:r>
                          </w:p>
                        </w:tc>
                      </w:tr>
                    </w:tbl>
                  </w:txbxContent>
                </v:textbox>
                <w10:wrap type="through" side="bothSides" anchorx="page" anchory="page"/>
              </v:shape>
            </w:pict>
          </mc:Fallback>
        </mc:AlternateContent>
      </w:r>
      <w:r>
        <w:rPr>
          <w:rFonts w:ascii="Tw Cen MT"/>
          <w:sz w:val="18"/>
          <w:szCs w:val="18"/>
          <w:rtl w:val="0"/>
          <w:lang w:val="en-US"/>
        </w:rPr>
        <w:t>ng for new wound healing strategies--problems and pitfalls .Wiad Lek. 2011;64(4):313-9.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r>
        <w:rPr>
          <w:rFonts w:ascii="Tw Cen MT"/>
          <w:sz w:val="18"/>
          <w:szCs w:val="18"/>
          <w:rtl w:val="0"/>
          <w:lang w:val="en-US"/>
        </w:rPr>
        <w:t>Caroline E. Fife, MD, CWS; Marissa J. Carter, PhD, MA; David Walker, CHT; Brett Thomson, BS; Wound Care Outcomes and Associated Cost Among Patients Treated in US  Outpatient Wound Centers: Data From the US Wound Registry; WOUNDS 2012;24(1):10</w:t>
      </w:r>
      <w:r>
        <w:rPr>
          <w:rFonts w:hAnsi="Tw Cen MT" w:hint="default"/>
          <w:sz w:val="18"/>
          <w:szCs w:val="18"/>
          <w:rtl w:val="0"/>
          <w:lang w:val="en-US"/>
        </w:rPr>
        <w:t>–</w:t>
      </w:r>
      <w:r>
        <w:rPr>
          <w:rFonts w:ascii="Tw Cen MT"/>
          <w:sz w:val="18"/>
          <w:szCs w:val="18"/>
          <w:rtl w:val="0"/>
          <w:lang w:val="en-US"/>
        </w:rPr>
        <w:t>17 Volume 24 - Issue 1 - January 2012 .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hyperlink r:id="rId10" w:history="1">
        <w:r>
          <w:rPr>
            <w:rStyle w:val="Hyperlink.4"/>
            <w:rFonts w:ascii="Tw Cen MT"/>
            <w:sz w:val="18"/>
            <w:szCs w:val="18"/>
            <w:rtl w:val="0"/>
            <w:lang w:val="en-US"/>
          </w:rPr>
          <w:t>Cobos Campos R</w:t>
        </w:r>
      </w:hyperlink>
      <w:r>
        <w:rPr>
          <w:rFonts w:ascii="Tw Cen MT"/>
          <w:sz w:val="18"/>
          <w:szCs w:val="18"/>
          <w:rtl w:val="0"/>
          <w:lang w:val="en-US"/>
        </w:rPr>
        <w:t>1</w:t>
      </w:r>
      <w:r>
        <w:rPr>
          <w:rFonts w:ascii="Tw Cen MT"/>
          <w:sz w:val="18"/>
          <w:szCs w:val="18"/>
          <w:rtl w:val="0"/>
          <w:lang w:val="en-US"/>
        </w:rPr>
        <w:t xml:space="preserve"> </w:t>
      </w:r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11" w:history="1">
        <w:r>
          <w:rPr>
            <w:rStyle w:val="Hyperlink.5"/>
            <w:rFonts w:ascii="Tw Cen MT"/>
            <w:sz w:val="18"/>
            <w:szCs w:val="18"/>
            <w:rtl w:val="0"/>
            <w:lang w:val="en-US"/>
          </w:rPr>
          <w:t>Parraza Diez N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1, </w:t>
      </w:r>
      <w:hyperlink r:id="rId12" w:history="1">
        <w:r>
          <w:rPr>
            <w:rStyle w:val="Hyperlink.6"/>
            <w:rFonts w:ascii="Tw Cen MT"/>
            <w:sz w:val="18"/>
            <w:szCs w:val="18"/>
            <w:rtl w:val="0"/>
            <w:lang w:val="en-US"/>
          </w:rPr>
          <w:t>Aizpuru Barandiaran F</w:t>
        </w:r>
      </w:hyperlink>
      <w:r>
        <w:rPr>
          <w:rFonts w:ascii="Tw Cen MT"/>
          <w:sz w:val="18"/>
          <w:szCs w:val="18"/>
          <w:rtl w:val="0"/>
          <w:lang w:val="en-US"/>
        </w:rPr>
        <w:t>2</w:t>
      </w:r>
      <w:r>
        <w:rPr>
          <w:rFonts w:ascii="Tw Cen MT"/>
          <w:sz w:val="18"/>
          <w:szCs w:val="18"/>
          <w:rtl w:val="0"/>
          <w:lang w:val="en-US"/>
        </w:rPr>
        <w:t xml:space="preserve">  </w:t>
      </w:r>
      <w:r>
        <w:rPr>
          <w:rFonts w:ascii="Tw Cen MT"/>
          <w:sz w:val="18"/>
          <w:szCs w:val="18"/>
          <w:rtl w:val="0"/>
          <w:lang w:val="en-US"/>
        </w:rPr>
        <w:t>Platelet-rich plasma in skin ulcer treatment.</w:t>
      </w:r>
      <w:r>
        <w:rPr>
          <w:rFonts w:ascii="Tw Cen MT"/>
          <w:sz w:val="18"/>
          <w:szCs w:val="18"/>
          <w:rtl w:val="0"/>
          <w:lang w:val="en-US"/>
        </w:rPr>
        <w:t xml:space="preserve"> </w:t>
      </w:r>
      <w:r>
        <w:rPr>
          <w:rFonts w:ascii="Tw Cen MT"/>
          <w:sz w:val="18"/>
          <w:szCs w:val="18"/>
          <w:rtl w:val="0"/>
          <w:lang w:val="en-US"/>
        </w:rPr>
        <w:t>Wounds. 2013 Sep;25(9):256-62.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r>
        <w:rPr>
          <w:rFonts w:ascii="Tw Cen MT"/>
          <w:sz w:val="18"/>
          <w:szCs w:val="18"/>
          <w:rtl w:val="0"/>
          <w:lang w:val="en-US"/>
        </w:rPr>
        <w:t>Dhurat R, Sukesh M.Principles and Methods of Preparation of Platelet-Rich Plasma: A Review and Author's Perspective J Cutan Aesthet Surg. 2014Oct-Dec;7(4):189-97. doi: 10.4103/0974-2077.150734. Review. PubMed PMID:25722595; PubMed Central PMCID: PMC4338460.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r>
        <w:rPr>
          <w:rFonts w:ascii="Tw Cen MT"/>
          <w:sz w:val="18"/>
          <w:szCs w:val="18"/>
          <w:rtl w:val="0"/>
          <w:lang w:val="en-US"/>
        </w:rPr>
        <w:t xml:space="preserve"> </w:t>
      </w:r>
      <w:r>
        <w:rPr>
          <w:rFonts w:ascii="Tw Cen MT"/>
          <w:sz w:val="18"/>
          <w:szCs w:val="18"/>
          <w:rtl w:val="0"/>
          <w:lang w:val="en-US"/>
        </w:rPr>
        <w:t>Wang L, Gu Z, Gao C.Platelet-rich plasma for treating acute wounds: a meta-analysis Zhonghua Yi Xue Za Zhi. 2014 Jul 22;94(28):2169-74. Chinese.PubMed PMID: 25331465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r>
        <w:rPr>
          <w:rFonts w:ascii="Tw Cen MT"/>
          <w:sz w:val="18"/>
          <w:szCs w:val="18"/>
          <w:rtl w:val="0"/>
          <w:lang w:val="en-US"/>
        </w:rPr>
        <w:t xml:space="preserve">Gao F1, </w:t>
      </w:r>
      <w:hyperlink r:id="rId13" w:history="1">
        <w:r>
          <w:rPr>
            <w:rStyle w:val="Hyperlink.7"/>
            <w:rFonts w:ascii="Tw Cen MT"/>
            <w:sz w:val="18"/>
            <w:szCs w:val="18"/>
            <w:rtl w:val="0"/>
            <w:lang w:val="en-US"/>
          </w:rPr>
          <w:t>Wang JX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14" w:history="1">
        <w:r>
          <w:rPr>
            <w:rStyle w:val="Hyperlink.8"/>
            <w:rFonts w:ascii="Tw Cen MT"/>
            <w:sz w:val="18"/>
            <w:szCs w:val="18"/>
            <w:rtl w:val="0"/>
            <w:lang w:val="en-US"/>
          </w:rPr>
          <w:t>Han Y</w:t>
        </w:r>
      </w:hyperlink>
      <w:r>
        <w:rPr>
          <w:rFonts w:ascii="Tw Cen MT"/>
          <w:sz w:val="18"/>
          <w:szCs w:val="18"/>
          <w:rtl w:val="0"/>
          <w:lang w:val="en-US"/>
        </w:rPr>
        <w:t>. Research advance on application of platelet-rich plasma in wound repair -- review ; Zhongguo Shi Yan Xue Ye Xue Za Zhi. 2009 Jun;17(3):840-3.</w:t>
      </w:r>
    </w:p>
    <w:p>
      <w:pPr>
        <w:pStyle w:val="Free Form"/>
        <w:numPr>
          <w:ilvl w:val="0"/>
          <w:numId w:val="3"/>
        </w:numPr>
        <w:ind w:left="393" w:right="720"/>
        <w:jc w:val="both"/>
        <w:rPr>
          <w:rFonts w:ascii="Tw Cen MT" w:cs="Tw Cen MT" w:hAnsi="Tw Cen MT" w:eastAsia="Tw Cen MT"/>
          <w:position w:val="0"/>
          <w:sz w:val="18"/>
          <w:szCs w:val="18"/>
        </w:rPr>
      </w:pPr>
      <w:r>
        <w:rPr>
          <w:rFonts w:ascii="Tw Cen MT"/>
          <w:sz w:val="18"/>
          <w:szCs w:val="18"/>
          <w:rtl w:val="0"/>
          <w:lang w:val="en-US"/>
        </w:rPr>
        <w:t xml:space="preserve">Kazakos K1, </w:t>
      </w:r>
      <w:hyperlink r:id="rId15" w:history="1">
        <w:r>
          <w:rPr>
            <w:rStyle w:val="Hyperlink.9"/>
            <w:rFonts w:ascii="Tw Cen MT"/>
            <w:sz w:val="18"/>
            <w:szCs w:val="18"/>
            <w:rtl w:val="0"/>
            <w:lang w:val="en-US"/>
          </w:rPr>
          <w:t>Lyras DN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16" w:history="1">
        <w:r>
          <w:rPr>
            <w:rStyle w:val="Hyperlink.10"/>
            <w:rFonts w:ascii="Tw Cen MT"/>
            <w:sz w:val="18"/>
            <w:szCs w:val="18"/>
            <w:rtl w:val="0"/>
            <w:lang w:val="en-US"/>
          </w:rPr>
          <w:t>Verettas D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17" w:history="1">
        <w:r>
          <w:rPr>
            <w:rStyle w:val="Hyperlink.11"/>
            <w:rFonts w:ascii="Tw Cen MT"/>
            <w:sz w:val="18"/>
            <w:szCs w:val="18"/>
            <w:rtl w:val="0"/>
            <w:lang w:val="en-US"/>
          </w:rPr>
          <w:t>Tilkeridis K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, </w:t>
      </w:r>
      <w:hyperlink r:id="rId18" w:history="1">
        <w:r>
          <w:rPr>
            <w:rStyle w:val="Hyperlink.12"/>
            <w:rFonts w:ascii="Tw Cen MT"/>
            <w:sz w:val="18"/>
            <w:szCs w:val="18"/>
            <w:rtl w:val="0"/>
            <w:lang w:val="en-US"/>
          </w:rPr>
          <w:t>Tryfonidis M</w:t>
        </w:r>
      </w:hyperlink>
      <w:r>
        <w:rPr>
          <w:rFonts w:ascii="Tw Cen MT"/>
          <w:sz w:val="18"/>
          <w:szCs w:val="18"/>
          <w:rtl w:val="0"/>
          <w:lang w:val="en-US"/>
        </w:rPr>
        <w:t xml:space="preserve"> The use of autologous PRP gel as an aid in the management of acute trauma wounds.Injury. 2009 Aug;40(8):801-5. doi: 10.1016/j.injury.2008.05.002. Epub 2008 Aug 13.</w:t>
      </w:r>
    </w:p>
    <w:p>
      <w:pPr>
        <w:pStyle w:val="Free Form"/>
        <w:ind w:right="720"/>
        <w:jc w:val="both"/>
        <w:sectPr>
          <w:headerReference w:type="default" r:id="rId19"/>
          <w:footerReference w:type="default" r:id="rId20"/>
          <w:type w:val="continuous"/>
          <w:pgSz w:w="11920" w:h="16840" w:orient="portrait"/>
          <w:pgMar w:top="1740" w:right="600" w:bottom="840" w:left="620" w:header="541" w:footer="642"/>
          <w:cols w:num="2" w:equalWidth="0">
            <w:col w:w="5229" w:space="138"/>
            <w:col w:w="5353" w:space="0"/>
          </w:cols>
          <w:bidi w:val="0"/>
        </w:sectPr>
      </w:pP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rPr>
          <w:rFonts w:ascii="Calibri" w:cs="Calibri" w:hAnsi="Calibri" w:eastAsia="Calibri"/>
          <w:sz w:val="20"/>
          <w:szCs w:val="20"/>
        </w:rPr>
      </w:pPr>
    </w:p>
    <w:p>
      <w:pPr>
        <w:pStyle w:val="Body Text"/>
        <w:spacing w:line="40" w:lineRule="exact"/>
        <w:ind w:left="2202" w:firstLine="0"/>
        <w:rPr>
          <w:rFonts w:ascii="Calibri" w:cs="Calibri" w:hAnsi="Calibri" w:eastAsia="Calibri"/>
          <w:sz w:val="4"/>
          <w:szCs w:val="4"/>
        </w:rPr>
      </w:pPr>
      <w:r>
        <w:rPr>
          <w:rFonts w:ascii="Calibri" w:cs="Calibri" w:hAnsi="Calibri" w:eastAsia="Calibri"/>
          <w:sz w:val="4"/>
          <w:szCs w:val="4"/>
          <w:rtl w:val="0"/>
        </w:rPr>
        <mc:AlternateContent>
          <mc:Choice Requires="wps">
            <w:drawing>
              <wp:inline distT="0" distB="0" distL="0" distR="0">
                <wp:extent cx="3950335" cy="0"/>
                <wp:effectExtent l="0" t="0" r="0" b="0"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0335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7" style="visibility:visible;width:311.0pt;height:0.0pt;">
                <v:fill on="f"/>
                <v:stroke filltype="solid" color="#004080" opacity="100.0%" weight="2.0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"/>
        <w:spacing w:before="92"/>
        <w:ind w:right="4234"/>
        <w:rPr>
          <w:rFonts w:ascii="Arial" w:cs="Arial" w:hAnsi="Arial" w:eastAsia="Arial"/>
          <w:color w:val="bf5a14"/>
          <w:u w:color="bf5a14"/>
        </w:rPr>
      </w:pPr>
      <w:r>
        <w:rPr>
          <w:rtl w:val="0"/>
        </w:rPr>
        <w:t xml:space="preserve">              </w:t>
      </w:r>
    </w:p>
    <w:p>
      <w:pPr>
        <w:pStyle w:val="Body"/>
        <w:spacing w:before="92"/>
        <w:ind w:right="4234"/>
        <w:rPr>
          <w:lang w:val="en-US"/>
        </w:rPr>
      </w:pPr>
      <w:r>
        <w:rPr>
          <w:rFonts w:ascii="Arial" w:cs="Arial" w:hAnsi="Arial" w:eastAsia="Arial"/>
          <w:color w:val="bf5a14"/>
          <w:u w:color="bf5a14"/>
        </w:rPr>
        <w:tab/>
        <w:tab/>
        <w:tab/>
        <w:tab/>
      </w:r>
      <w:r>
        <w:rPr>
          <w:rFonts w:ascii="Times New Roman"/>
          <w:b w:val="1"/>
          <w:bCs w:val="1"/>
          <w:i w:val="1"/>
          <w:iCs w:val="1"/>
          <w:rtl w:val="0"/>
          <w:lang w:val="en-US"/>
        </w:rPr>
        <w:t xml:space="preserve">Biography </w:t>
      </w:r>
      <w:r>
        <w:rPr>
          <w:rtl w:val="0"/>
          <w:lang w:val="en-US"/>
        </w:rPr>
        <w:t xml:space="preserve">: </w:t>
      </w:r>
    </w:p>
    <w:p>
      <w:pPr>
        <w:pStyle w:val="Body A"/>
        <w:ind w:right="360"/>
        <w:rPr>
          <w:rFonts w:ascii="Times New Roman" w:cs="Times New Roman" w:hAnsi="Times New Roman" w:eastAsia="Times New Roman"/>
          <w:lang w:val="en-US"/>
        </w:rPr>
      </w:pPr>
      <w:r>
        <w:rPr>
          <w:rFonts w:ascii="Times New Roman"/>
          <w:rtl w:val="0"/>
          <w:lang w:val="en-US"/>
        </w:rPr>
        <w:t xml:space="preserve"> Prof.Sandeep Shrivastava is </w:t>
      </w:r>
      <w:r>
        <w:rPr>
          <w:rFonts w:ascii="Times New Roman"/>
          <w:rtl w:val="0"/>
          <w:lang w:val="en-US"/>
        </w:rPr>
        <w:t>from</w:t>
      </w:r>
      <w:r>
        <w:rPr>
          <w:rFonts w:ascii="Times New Roman"/>
          <w:rtl w:val="0"/>
          <w:lang w:val="en-US"/>
        </w:rPr>
        <w:t>, D</w:t>
      </w:r>
      <w:r>
        <w:rPr>
          <w:rFonts w:ascii="Times New Roman"/>
          <w:rtl w:val="0"/>
          <w:lang w:val="en-US"/>
        </w:rPr>
        <w:t xml:space="preserve">atta </w:t>
      </w:r>
      <w:r>
        <w:rPr>
          <w:rFonts w:ascii="Times New Roman"/>
          <w:rtl w:val="0"/>
          <w:lang w:val="en-US"/>
        </w:rPr>
        <w:t>M</w:t>
      </w:r>
      <w:r>
        <w:rPr>
          <w:rFonts w:ascii="Times New Roman"/>
          <w:rtl w:val="0"/>
          <w:lang w:val="en-US"/>
        </w:rPr>
        <w:t xml:space="preserve">eghe </w:t>
      </w:r>
      <w:r>
        <w:rPr>
          <w:rFonts w:ascii="Times New Roman"/>
          <w:rtl w:val="0"/>
          <w:lang w:val="en-US"/>
        </w:rPr>
        <w:t>I</w:t>
      </w:r>
      <w:r>
        <w:rPr>
          <w:rFonts w:ascii="Times New Roman"/>
          <w:rtl w:val="0"/>
          <w:lang w:val="en-US"/>
        </w:rPr>
        <w:t xml:space="preserve">nstitute of </w:t>
      </w:r>
      <w:r>
        <w:rPr>
          <w:rFonts w:ascii="Times New Roman"/>
          <w:rtl w:val="0"/>
          <w:lang w:val="en-US"/>
        </w:rPr>
        <w:t>M</w:t>
      </w:r>
      <w:r>
        <w:rPr>
          <w:rFonts w:ascii="Times New Roman"/>
          <w:rtl w:val="0"/>
          <w:lang w:val="en-US"/>
        </w:rPr>
        <w:t xml:space="preserve">edical </w:t>
      </w:r>
      <w:r>
        <w:rPr>
          <w:rFonts w:ascii="Times New Roman"/>
          <w:rtl w:val="0"/>
          <w:lang w:val="en-US"/>
        </w:rPr>
        <w:t>S</w:t>
      </w:r>
      <w:r>
        <w:rPr>
          <w:rFonts w:ascii="Times New Roman"/>
          <w:rtl w:val="0"/>
          <w:lang w:val="en-US"/>
        </w:rPr>
        <w:t>ciences</w:t>
      </w:r>
      <w:r>
        <w:rPr>
          <w:rFonts w:ascii="Times New Roman"/>
          <w:rtl w:val="0"/>
          <w:lang w:val="en-US"/>
        </w:rPr>
        <w:t xml:space="preserve">, Wardha. </w:t>
      </w:r>
      <w:r>
        <w:rPr>
          <w:rFonts w:ascii="Times New Roman"/>
          <w:rtl w:val="0"/>
          <w:lang w:val="en-US"/>
        </w:rPr>
        <w:t>India</w:t>
      </w:r>
    </w:p>
    <w:p>
      <w:pPr>
        <w:pStyle w:val="Body A"/>
        <w:ind w:right="360"/>
        <w:rPr>
          <w:rFonts w:ascii="Times New Roman" w:cs="Times New Roman" w:hAnsi="Times New Roman" w:eastAsia="Times New Roman"/>
          <w:lang w:val="en-US"/>
        </w:rPr>
      </w:pPr>
      <w:r>
        <w:rPr>
          <w:rFonts w:ascii="Times New Roman"/>
          <w:rtl w:val="0"/>
          <w:lang w:val="en-US"/>
        </w:rPr>
        <w:t>Born in 1968 , he took over as DEAN at the age of 42 years.  He did his graduation and post graduation from G</w:t>
      </w:r>
      <w:r>
        <w:rPr>
          <w:rFonts w:ascii="Times New Roman"/>
          <w:rtl w:val="0"/>
          <w:lang w:val="en-US"/>
        </w:rPr>
        <w:t xml:space="preserve">. </w:t>
      </w:r>
      <w:r>
        <w:rPr>
          <w:rFonts w:ascii="Times New Roman"/>
          <w:rtl w:val="0"/>
          <w:lang w:val="en-US"/>
        </w:rPr>
        <w:t xml:space="preserve">R Medical College , Gwalior, India. </w:t>
      </w:r>
    </w:p>
    <w:p>
      <w:pPr>
        <w:pStyle w:val="Body A"/>
        <w:ind w:right="360"/>
        <w:rPr>
          <w:rFonts w:ascii="Times New Roman" w:cs="Times New Roman" w:hAnsi="Times New Roman" w:eastAsia="Times New Roman"/>
          <w:lang w:val="en-US"/>
        </w:rPr>
      </w:pPr>
      <w:r>
        <w:rPr>
          <w:rFonts w:ascii="Times New Roman"/>
          <w:rtl w:val="0"/>
          <w:lang w:val="en-US"/>
        </w:rPr>
        <w:t>He is a</w:t>
      </w:r>
      <w:r>
        <w:rPr>
          <w:rFonts w:ascii="Times New Roman"/>
          <w:rtl w:val="0"/>
          <w:lang w:val="en-US"/>
        </w:rPr>
        <w:t xml:space="preserve"> Orthopaedic Surgeon , with expertise in Limb deformity correction and reconstruction. He  have published </w:t>
      </w:r>
      <w:r>
        <w:rPr>
          <w:rFonts w:ascii="Times New Roman"/>
          <w:rtl w:val="0"/>
          <w:lang w:val="en-US"/>
        </w:rPr>
        <w:t xml:space="preserve">2 books, </w:t>
      </w:r>
      <w:r>
        <w:rPr>
          <w:rFonts w:ascii="Times New Roman"/>
          <w:rtl w:val="0"/>
          <w:lang w:val="en-US"/>
        </w:rPr>
        <w:t>5</w:t>
      </w:r>
      <w:r>
        <w:rPr>
          <w:rFonts w:ascii="Times New Roman"/>
          <w:rtl w:val="0"/>
          <w:lang w:val="en-US"/>
        </w:rPr>
        <w:t>5</w:t>
      </w:r>
      <w:r>
        <w:rPr>
          <w:rFonts w:ascii="Times New Roman"/>
          <w:rtl w:val="0"/>
          <w:lang w:val="en-US"/>
        </w:rPr>
        <w:t xml:space="preserve"> papers, </w:t>
      </w:r>
      <w:r>
        <w:rPr>
          <w:rFonts w:ascii="Times New Roman"/>
          <w:rtl w:val="0"/>
          <w:lang w:val="en-US"/>
        </w:rPr>
        <w:t xml:space="preserve">62 </w:t>
      </w:r>
      <w:r>
        <w:rPr>
          <w:rFonts w:ascii="Times New Roman"/>
          <w:rtl w:val="0"/>
          <w:lang w:val="en-US"/>
        </w:rPr>
        <w:t xml:space="preserve">International papers and </w:t>
      </w:r>
      <w:r>
        <w:rPr>
          <w:rFonts w:ascii="Times New Roman"/>
          <w:rtl w:val="0"/>
          <w:lang w:val="en-US"/>
        </w:rPr>
        <w:t>6</w:t>
      </w:r>
      <w:r>
        <w:rPr>
          <w:rFonts w:ascii="Times New Roman"/>
          <w:rtl w:val="0"/>
          <w:lang w:val="en-US"/>
        </w:rPr>
        <w:t xml:space="preserve"> copyrights /patents on ranging interests from Education to Bio- Informatics. </w:t>
      </w:r>
      <w:r>
        <w:rPr>
          <w:rFonts w:ascii="Times New Roman"/>
          <w:rtl w:val="0"/>
          <w:lang w:val="en-US"/>
        </w:rPr>
        <w:t xml:space="preserve">His innovations include a Safety App-Pre-Yell; a research tool - H_COIN; a learning methodology- </w:t>
      </w:r>
      <w:r>
        <w:rPr>
          <w:rFonts w:hAnsi="Times New Roman" w:hint="default"/>
          <w:rtl w:val="0"/>
          <w:lang w:val="en-US"/>
        </w:rPr>
        <w:t>“</w:t>
      </w:r>
      <w:r>
        <w:rPr>
          <w:rFonts w:ascii="Times New Roman"/>
          <w:rtl w:val="0"/>
          <w:lang w:val="en-US"/>
        </w:rPr>
        <w:t>Self Assertive Learning</w:t>
      </w:r>
      <w:r>
        <w:rPr>
          <w:rFonts w:hAnsi="Times New Roman" w:hint="default"/>
          <w:rtl w:val="0"/>
          <w:lang w:val="en-US"/>
        </w:rPr>
        <w:t>”</w:t>
      </w:r>
      <w:r>
        <w:rPr>
          <w:rFonts w:ascii="Times New Roman"/>
          <w:rtl w:val="0"/>
          <w:lang w:val="en-US"/>
        </w:rPr>
        <w:t>, and a education quality management program-</w:t>
      </w:r>
      <w:r>
        <w:rPr>
          <w:rFonts w:hAnsi="Times New Roman" w:hint="default"/>
          <w:rtl w:val="0"/>
          <w:lang w:val="en-US"/>
        </w:rPr>
        <w:t>“</w:t>
      </w:r>
      <w:r>
        <w:rPr>
          <w:rFonts w:ascii="Times New Roman"/>
          <w:rtl w:val="0"/>
          <w:lang w:val="en-US"/>
        </w:rPr>
        <w:t>Academic Appraisal Program</w:t>
      </w:r>
      <w:r>
        <w:rPr>
          <w:rFonts w:hAnsi="Times New Roman" w:hint="default"/>
          <w:rtl w:val="0"/>
          <w:lang w:val="en-US"/>
        </w:rPr>
        <w:t>”</w:t>
      </w:r>
      <w:r>
        <w:rPr>
          <w:rFonts w:ascii="Times New Roman"/>
          <w:rtl w:val="0"/>
          <w:lang w:val="en-US"/>
        </w:rPr>
        <w:t>.</w:t>
      </w:r>
    </w:p>
    <w:p>
      <w:pPr>
        <w:pStyle w:val="Body A"/>
        <w:ind w:right="360"/>
        <w:rPr>
          <w:rFonts w:ascii="Arial" w:cs="Arial" w:hAnsi="Arial" w:eastAsia="Arial"/>
          <w:sz w:val="14"/>
          <w:szCs w:val="14"/>
        </w:rPr>
      </w:pPr>
      <w:r>
        <w:rPr>
          <w:rFonts w:ascii="Times New Roman"/>
          <w:rtl w:val="0"/>
          <w:lang w:val="en-US"/>
        </w:rPr>
        <w:t>H</w:t>
      </w:r>
      <w:r>
        <w:rPr>
          <w:rFonts w:ascii="Times New Roman"/>
          <w:rtl w:val="0"/>
          <w:lang w:val="en-US"/>
        </w:rPr>
        <w:t xml:space="preserve">e is developer for </w:t>
      </w:r>
      <w:r>
        <w:rPr>
          <w:rFonts w:hAnsi="Times New Roman" w:hint="default"/>
          <w:rtl w:val="0"/>
          <w:lang w:val="en-US"/>
        </w:rPr>
        <w:t>“</w:t>
      </w:r>
      <w:r>
        <w:rPr>
          <w:rFonts w:ascii="Times New Roman"/>
          <w:rtl w:val="0"/>
          <w:lang w:val="en-US"/>
        </w:rPr>
        <w:t>STARS</w:t>
      </w:r>
      <w:r>
        <w:rPr>
          <w:rFonts w:ascii="Times New Roman"/>
          <w:rtl w:val="0"/>
          <w:lang w:val="en-US"/>
        </w:rPr>
        <w:t xml:space="preserve"> therapy</w:t>
      </w:r>
      <w:r>
        <w:rPr>
          <w:rFonts w:hAnsi="Times New Roman" w:hint="default"/>
          <w:rtl w:val="0"/>
          <w:lang w:val="en-US"/>
        </w:rPr>
        <w:t xml:space="preserve">” </w:t>
      </w:r>
      <w:r>
        <w:rPr>
          <w:rFonts w:ascii="Times New Roman"/>
          <w:rtl w:val="0"/>
          <w:lang w:val="en-US"/>
        </w:rPr>
        <w:t>for wound healing</w:t>
      </w:r>
      <w:r>
        <w:rPr>
          <w:rFonts w:ascii="Times New Roman"/>
          <w:rtl w:val="0"/>
          <w:lang w:val="en-US"/>
        </w:rPr>
        <w:t xml:space="preserve">. </w:t>
      </w:r>
      <w:r>
        <w:rPr>
          <w:rFonts w:ascii="Times New Roman"/>
          <w:rtl w:val="0"/>
          <w:lang w:val="en-US"/>
        </w:rPr>
        <w:t xml:space="preserve"> </w:t>
      </w:r>
      <w:r>
        <w:rPr>
          <w:rFonts w:ascii="Times New Roman"/>
          <w:i w:val="1"/>
          <w:iCs w:val="1"/>
          <w:rtl w:val="0"/>
          <w:lang w:val="en-US"/>
        </w:rPr>
        <w:t xml:space="preserve">He has </w:t>
      </w:r>
      <w:r>
        <w:rPr>
          <w:rFonts w:ascii="Times New Roman"/>
          <w:rtl w:val="0"/>
          <w:lang w:val="en-US"/>
        </w:rPr>
        <w:t xml:space="preserve">travelled extensively </w:t>
      </w:r>
      <w:r>
        <w:rPr>
          <w:rFonts w:ascii="Times New Roman"/>
          <w:rtl w:val="0"/>
          <w:lang w:val="en-US"/>
        </w:rPr>
        <w:t xml:space="preserve">through all the continents and </w:t>
      </w:r>
      <w:r>
        <w:rPr>
          <w:rFonts w:ascii="Times New Roman"/>
          <w:rtl w:val="0"/>
          <w:lang w:val="da-DK"/>
        </w:rPr>
        <w:t xml:space="preserve">  deliver</w:t>
      </w:r>
      <w:r>
        <w:rPr>
          <w:rFonts w:ascii="Times New Roman"/>
          <w:rtl w:val="0"/>
          <w:lang w:val="en-US"/>
        </w:rPr>
        <w:t>ed</w:t>
      </w:r>
      <w:r>
        <w:rPr>
          <w:rFonts w:ascii="Times New Roman"/>
          <w:rtl w:val="0"/>
        </w:rPr>
        <w:t xml:space="preserve"> </w:t>
      </w:r>
      <w:r>
        <w:rPr>
          <w:rFonts w:ascii="Times New Roman"/>
          <w:rtl w:val="0"/>
          <w:lang w:val="en-US"/>
        </w:rPr>
        <w:t>talk on various aspects of this research project .This is</w:t>
      </w:r>
      <w:r>
        <w:rPr>
          <w:rFonts w:ascii="Times New Roman"/>
          <w:rtl w:val="0"/>
          <w:lang w:val="en-US"/>
        </w:rPr>
        <w:t xml:space="preserve"> an attempt to find a </w:t>
      </w:r>
      <w:r>
        <w:rPr>
          <w:rFonts w:ascii="Times New Roman"/>
          <w:rtl w:val="0"/>
          <w:lang w:val="en-US"/>
        </w:rPr>
        <w:t xml:space="preserve">ideal </w:t>
      </w:r>
      <w:r>
        <w:rPr>
          <w:rFonts w:ascii="Times New Roman"/>
          <w:rtl w:val="0"/>
          <w:lang w:val="en-US"/>
        </w:rPr>
        <w:t>solution</w:t>
      </w:r>
      <w:r>
        <w:rPr>
          <w:rFonts w:ascii="Times New Roman"/>
          <w:rtl w:val="0"/>
          <w:lang w:val="en-US"/>
        </w:rPr>
        <w:t xml:space="preserve"> for </w:t>
      </w:r>
      <w:r>
        <w:rPr>
          <w:rFonts w:ascii="Times New Roman"/>
          <w:rtl w:val="0"/>
          <w:lang w:val="en-US"/>
        </w:rPr>
        <w:t>millions who continue to suffer from complex wounds.</w:t>
      </w:r>
      <w:r>
        <w:rPr>
          <w:rFonts w:ascii="Arial"/>
          <w:sz w:val="14"/>
          <w:szCs w:val="14"/>
          <w:rtl w:val="0"/>
        </w:rPr>
        <w:t xml:space="preserve">Email: </w:t>
      </w:r>
      <w:hyperlink r:id="rId21" w:history="1">
        <w:r>
          <w:rPr>
            <w:rStyle w:val="Hyperlink.13"/>
            <w:rFonts w:ascii="Times New Roman"/>
            <w:rtl w:val="0"/>
            <w:lang w:val="en-US"/>
          </w:rPr>
          <w:t>drsandeepshrivastava@hotmail.com</w:t>
        </w:r>
      </w:hyperlink>
    </w:p>
    <w:p>
      <w:pPr>
        <w:pStyle w:val="Body Text"/>
        <w:spacing w:before="2"/>
        <w:rPr>
          <w:rFonts w:ascii="Arial" w:cs="Arial" w:hAnsi="Arial" w:eastAsia="Arial"/>
          <w:sz w:val="19"/>
          <w:szCs w:val="19"/>
        </w:rPr>
      </w:pPr>
      <w:r>
        <w:rPr>
          <w:rtl w:val="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2061845</wp:posOffset>
                </wp:positionH>
                <wp:positionV relativeFrom="line">
                  <wp:posOffset>165100</wp:posOffset>
                </wp:positionV>
                <wp:extent cx="3442335" cy="0"/>
                <wp:effectExtent l="0" t="0" r="0" b="0"/>
                <wp:wrapTopAndBottom distT="0" distB="0"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408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62.4pt;margin-top:13.0pt;width:271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408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rPr>
          <w:rFonts w:ascii="Arial" w:cs="Arial" w:hAnsi="Arial" w:eastAsia="Arial"/>
          <w:sz w:val="20"/>
          <w:szCs w:val="20"/>
        </w:rPr>
      </w:pPr>
    </w:p>
    <w:p>
      <w:pPr>
        <w:pStyle w:val="Body Text"/>
        <w:spacing w:before="7"/>
        <w:rPr>
          <w:rFonts w:ascii="Arial" w:cs="Arial" w:hAnsi="Arial" w:eastAsia="Arial"/>
          <w:sz w:val="29"/>
          <w:szCs w:val="29"/>
        </w:rPr>
      </w:pPr>
    </w:p>
    <w:p>
      <w:pPr>
        <w:pStyle w:val="Body"/>
        <w:spacing w:before="39"/>
        <w:ind w:left="100" w:firstLine="0"/>
        <w:rPr>
          <w:rFonts w:ascii="Minion Pro" w:cs="Minion Pro" w:hAnsi="Minion Pro" w:eastAsia="Minion Pro"/>
          <w:b w:val="1"/>
          <w:bCs w:val="1"/>
          <w:sz w:val="20"/>
          <w:szCs w:val="20"/>
        </w:rPr>
      </w:pPr>
      <w:r>
        <w:rPr>
          <w:rFonts w:ascii="Minion Pro" w:cs="Minion Pro" w:hAnsi="Minion Pro" w:eastAsia="Minion Pro"/>
          <w:b w:val="1"/>
          <w:bCs w:val="1"/>
          <w:sz w:val="20"/>
          <w:szCs w:val="20"/>
          <w:rtl w:val="0"/>
          <w:lang w:val="fr-FR"/>
        </w:rPr>
        <w:t>Notes/Comments:</w:t>
      </w:r>
    </w:p>
    <w:p>
      <w:pPr>
        <w:pStyle w:val="Body"/>
      </w:pPr>
      <w:r>
        <w:rPr>
          <w:rFonts w:ascii="Minion Pro" w:cs="Minion Pro" w:hAnsi="Minion Pro" w:eastAsia="Minion Pro"/>
          <w:b w:val="1"/>
          <w:bCs w:val="1"/>
          <w:sz w:val="20"/>
          <w:szCs w:val="20"/>
        </w:rPr>
        <w:br w:type="page"/>
      </w:r>
    </w:p>
    <w:sectPr>
      <w:headerReference w:type="default" r:id="rId22"/>
      <w:footerReference w:type="default" r:id="rId23"/>
      <w:type w:val="continuous"/>
      <w:pgSz w:w="11920" w:h="16840" w:orient="portrait"/>
      <w:pgMar w:top="1740" w:right="600" w:bottom="840" w:left="620" w:header="541" w:footer="64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Tw Cen MT">
    <w:charset w:val="00"/>
    <w:family w:val="roman"/>
    <w:pitch w:val="default"/>
  </w:font>
  <w:font w:name="Myriad Pro">
    <w:charset w:val="00"/>
    <w:family w:val="roman"/>
    <w:pitch w:val="default"/>
  </w:font>
  <w:font w:name="Impact">
    <w:charset w:val="00"/>
    <w:family w:val="roman"/>
    <w:pitch w:val="default"/>
  </w:font>
  <w:font w:name="Minion Pro">
    <w:charset w:val="00"/>
    <w:family w:val="roman"/>
    <w:pitch w:val="default"/>
  </w:font>
  <w:font w:name="Helvetica">
    <w:charset w:val="00"/>
    <w:family w:val="roman"/>
    <w:pitch w:val="default"/>
  </w:font>
  <w:font w:name="Arial Bold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.0"/>
                                <w:rFonts w:ascii="Arial"/>
                                <w:color w:val="ffffff"/>
                                <w:sz w:val="14"/>
                                <w:szCs w:val="14"/>
                                <w:u w:color="ffffff"/>
                                <w:rtl w:val="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hyperlink r:id="rId1" w:history="1">
                      <w:r>
                        <w:rPr>
                          <w:rStyle w:val="Hyperlink.0"/>
                          <w:rFonts w:ascii="Arial"/>
                          <w:color w:val="ffffff"/>
                          <w:sz w:val="14"/>
                          <w:szCs w:val="14"/>
                          <w:u w:color="ffffff"/>
                          <w:rtl w:val="0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Fonts w:ascii="Impact"/>
                              <w:b w:val="1"/>
                              <w:bCs w:val="1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Fonts w:ascii="Impact"/>
                        <w:b w:val="1"/>
                        <w:bCs w:val="1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Fonts w:ascii="Impact" w:cs="Impact" w:hAnsi="Impact" w:eastAsia="Impact"/>
                              <w:b w:val="1"/>
                              <w:bCs w:val="1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/>
                              <w:b w:val="1"/>
                              <w:bCs w:val="1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2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Fonts w:ascii="Impact" w:cs="Impact" w:hAnsi="Impact" w:eastAsia="Impact"/>
                        <w:b w:val="1"/>
                        <w:bCs w:val="1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Fonts w:ascii="Impact"/>
                        <w:b w:val="1"/>
                        <w:bCs w:val="1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2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3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30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.0"/>
                                <w:rFonts w:ascii="Arial"/>
                                <w:color w:val="ffffff"/>
                                <w:sz w:val="14"/>
                                <w:szCs w:val="14"/>
                                <w:u w:color="ffffff"/>
                                <w:rtl w:val="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4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hyperlink r:id="rId1" w:history="1">
                      <w:r>
                        <w:rPr>
                          <w:rStyle w:val="Hyperlink.0"/>
                          <w:rFonts w:ascii="Arial"/>
                          <w:color w:val="ffffff"/>
                          <w:sz w:val="14"/>
                          <w:szCs w:val="14"/>
                          <w:u w:color="ffffff"/>
                          <w:rtl w:val="0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31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Fonts w:ascii="Impact"/>
                              <w:b w:val="1"/>
                              <w:bCs w:val="1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Fonts w:ascii="Impact"/>
                        <w:b w:val="1"/>
                        <w:bCs w:val="1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32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6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33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Fonts w:ascii="Impact" w:cs="Impact" w:hAnsi="Impact" w:eastAsia="Impact"/>
                              <w:b w:val="1"/>
                              <w:bCs w:val="1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/>
                              <w:b w:val="1"/>
                              <w:bCs w:val="1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7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Fonts w:ascii="Impact" w:cs="Impact" w:hAnsi="Impact" w:eastAsia="Impact"/>
                        <w:b w:val="1"/>
                        <w:bCs w:val="1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Fonts w:ascii="Impact"/>
                        <w:b w:val="1"/>
                        <w:bCs w:val="1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34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8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 Text"/>
      <w:spacing w:line="14" w:lineRule="auto"/>
    </w:pPr>
    <w: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5283199</wp:posOffset>
              </wp:positionH>
              <wp:positionV relativeFrom="page">
                <wp:posOffset>330835</wp:posOffset>
              </wp:positionV>
              <wp:extent cx="1832611" cy="220980"/>
              <wp:effectExtent l="0" t="0" r="0" b="0"/>
              <wp:wrapNone/>
              <wp:docPr id="107374183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611" cy="22098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before="2" w:line="249" w:lineRule="auto"/>
                            <w:ind w:left="156" w:right="18" w:hanging="137"/>
                          </w:pPr>
                          <w:r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u w:color="ffffff"/>
                              <w:rtl w:val="0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 w:history="1">
                            <w:r>
                              <w:rPr>
                                <w:rStyle w:val="Hyperlink.0"/>
                                <w:rFonts w:ascii="Arial"/>
                                <w:color w:val="ffffff"/>
                                <w:sz w:val="14"/>
                                <w:szCs w:val="14"/>
                                <w:u w:color="ffffff"/>
                                <w:rtl w:val="0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9" style="visibility:visible;position:absolute;margin-left:416.0pt;margin-top:26.0pt;width:144.3pt;height:17.4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before="2" w:line="249" w:lineRule="auto"/>
                      <w:ind w:left="156" w:right="18" w:hanging="137"/>
                    </w:pPr>
                    <w:r>
                      <w:rPr>
                        <w:rFonts w:ascii="Arial"/>
                        <w:color w:val="ffffff"/>
                        <w:sz w:val="14"/>
                        <w:szCs w:val="14"/>
                        <w:u w:color="ffffff"/>
                        <w:rtl w:val="0"/>
                        <w:lang w:val="fr-FR"/>
                      </w:rPr>
                      <w:t xml:space="preserve">T Furuta et al., J Pai n Relief 2016, 5:3(Suppl) </w:t>
                    </w:r>
                    <w:hyperlink r:id="rId1" w:history="1">
                      <w:r>
                        <w:rPr>
                          <w:rStyle w:val="Hyperlink.0"/>
                          <w:rFonts w:ascii="Arial"/>
                          <w:color w:val="ffffff"/>
                          <w:sz w:val="14"/>
                          <w:szCs w:val="14"/>
                          <w:u w:color="ffffff"/>
                          <w:rtl w:val="0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444499</wp:posOffset>
              </wp:positionH>
              <wp:positionV relativeFrom="page">
                <wp:posOffset>613409</wp:posOffset>
              </wp:positionV>
              <wp:extent cx="6552566" cy="509270"/>
              <wp:effectExtent l="0" t="0" r="0" b="0"/>
              <wp:wrapNone/>
              <wp:docPr id="107374183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566" cy="509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 Text"/>
                            <w:spacing w:line="187" w:lineRule="exact"/>
                            <w:ind w:left="20" w:firstLine="0"/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</w:rPr>
                          </w:pPr>
                          <w:r>
                            <w:rPr>
                              <w:rFonts w:ascii="Myriad Pro" w:cs="Myriad Pro" w:hAnsi="Myriad Pro" w:eastAsia="Myriad Pro"/>
                              <w:color w:val="ffffff"/>
                              <w:u w:color="ffffff"/>
                              <w:rtl w:val="0"/>
                              <w:lang w:val="en-US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Body"/>
                            <w:spacing w:line="614" w:lineRule="exact"/>
                            <w:ind w:left="20" w:firstLine="0"/>
                          </w:pPr>
                          <w:r>
                            <w:rPr>
                              <w:rFonts w:ascii="Impact"/>
                              <w:b w:val="1"/>
                              <w:bCs w:val="1"/>
                              <w:color w:val="ffffff"/>
                              <w:sz w:val="52"/>
                              <w:szCs w:val="52"/>
                              <w:u w:color="ffffff"/>
                              <w:rtl w:val="0"/>
                              <w:lang w:val="en-US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  <w:lang w:val="fr-FR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0" style="visibility:visible;position:absolute;margin-left:35.0pt;margin-top:48.3pt;width:516.0pt;height:40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 Text"/>
                      <w:spacing w:line="187" w:lineRule="exact"/>
                      <w:ind w:left="20" w:firstLine="0"/>
                      <w:rPr>
                        <w:rFonts w:ascii="Myriad Pro" w:cs="Myriad Pro" w:hAnsi="Myriad Pro" w:eastAsia="Myriad Pro"/>
                        <w:color w:val="ffffff"/>
                        <w:u w:color="ffffff"/>
                      </w:rPr>
                    </w:pPr>
                    <w:r>
                      <w:rPr>
                        <w:rFonts w:ascii="Myriad Pro" w:cs="Myriad Pro" w:hAnsi="Myriad Pro" w:eastAsia="Myriad Pro"/>
                        <w:color w:val="ffffff"/>
                        <w:u w:color="ffffff"/>
                        <w:rtl w:val="0"/>
                        <w:lang w:val="en-US"/>
                      </w:rPr>
                      <w:t>International Conference on</w:t>
                    </w:r>
                  </w:p>
                  <w:p>
                    <w:pPr>
                      <w:pStyle w:val="Body"/>
                      <w:spacing w:line="614" w:lineRule="exact"/>
                      <w:ind w:left="20" w:firstLine="0"/>
                    </w:pPr>
                    <w:r>
                      <w:rPr>
                        <w:rFonts w:ascii="Impact"/>
                        <w:b w:val="1"/>
                        <w:bCs w:val="1"/>
                        <w:color w:val="ffffff"/>
                        <w:sz w:val="52"/>
                        <w:szCs w:val="52"/>
                        <w:u w:color="ffffff"/>
                        <w:rtl w:val="0"/>
                        <w:lang w:val="en-US"/>
                      </w:rPr>
                      <w:t xml:space="preserve">Fibromyalgia and Chronic Pain </w:t>
                    </w:r>
                    <w:r>
                      <w:rPr>
                        <w:rFonts w:ascii="Minion Pro" w:cs="Minion Pro" w:hAnsi="Minion Pro" w:eastAsia="Minion Pro"/>
                        <w:color w:val="ffffff"/>
                        <w:sz w:val="24"/>
                        <w:szCs w:val="24"/>
                        <w:u w:color="ffffff"/>
                        <w:rtl w:val="0"/>
                        <w:lang w:val="fr-FR"/>
                      </w:rPr>
                      <w:t>(June 15-16, 2016   Philadelphia, USA)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10144759</wp:posOffset>
              </wp:positionV>
              <wp:extent cx="2136140" cy="248921"/>
              <wp:effectExtent l="0" t="0" r="0" b="0"/>
              <wp:wrapNone/>
              <wp:docPr id="107374183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140" cy="24892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left="20" w:firstLine="0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de-DE"/>
                            </w:rPr>
                            <w:t>J Pain Relief</w:t>
                          </w:r>
                        </w:p>
                        <w:p>
                          <w:pPr>
                            <w:pStyle w:val="Body"/>
                            <w:spacing w:before="8"/>
                            <w:ind w:left="20" w:firstLine="0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1" style="visibility:visible;position:absolute;margin-left:35.0pt;margin-top:798.8pt;width:168.2pt;height:19.6pt;z-index:-251656192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left="20" w:firstLine="0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de-DE"/>
                      </w:rPr>
                      <w:t>J Pain Relief</w:t>
                    </w:r>
                  </w:p>
                  <w:p>
                    <w:pPr>
                      <w:pStyle w:val="Body"/>
                      <w:spacing w:before="8"/>
                      <w:ind w:left="20" w:firstLine="0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ISSN: 2167-0846 JPAR an open access journa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3201669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1073741838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269" w:lineRule="exact"/>
                            <w:jc w:val="center"/>
                            <w:rPr>
                              <w:rFonts w:ascii="Impact" w:cs="Impact" w:hAnsi="Impact" w:eastAsia="Impact"/>
                              <w:b w:val="1"/>
                              <w:bCs w:val="1"/>
                              <w:color w:val="ffffff"/>
                              <w:sz w:val="24"/>
                              <w:szCs w:val="24"/>
                              <w:u w:color="ffffff"/>
                            </w:rPr>
                          </w:pPr>
                          <w:r>
                            <w:rPr>
                              <w:rFonts w:ascii="Impact"/>
                              <w:b w:val="1"/>
                              <w:bCs w:val="1"/>
                              <w:color w:val="ffffff"/>
                              <w:sz w:val="24"/>
                              <w:szCs w:val="24"/>
                              <w:u w:color="ffffff"/>
                              <w:rtl w:val="0"/>
                            </w:rPr>
                            <w:t>Fibromyalgia 2016</w:t>
                          </w:r>
                        </w:p>
                        <w:p>
                          <w:pPr>
                            <w:pStyle w:val="Body"/>
                            <w:spacing w:before="29"/>
                            <w:jc w:val="center"/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fr-FR"/>
                            </w:rPr>
                            <w:t>June 15-16, 2016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2" style="visibility:visible;position:absolute;margin-left:252.1pt;margin-top:799.0pt;width:91.9pt;height:24.9pt;z-index:-251655168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269" w:lineRule="exact"/>
                      <w:jc w:val="center"/>
                      <w:rPr>
                        <w:rFonts w:ascii="Impact" w:cs="Impact" w:hAnsi="Impact" w:eastAsia="Impact"/>
                        <w:b w:val="1"/>
                        <w:bCs w:val="1"/>
                        <w:color w:val="ffffff"/>
                        <w:sz w:val="24"/>
                        <w:szCs w:val="24"/>
                        <w:u w:color="ffffff"/>
                      </w:rPr>
                    </w:pPr>
                    <w:r>
                      <w:rPr>
                        <w:rFonts w:ascii="Impact"/>
                        <w:b w:val="1"/>
                        <w:bCs w:val="1"/>
                        <w:color w:val="ffffff"/>
                        <w:sz w:val="24"/>
                        <w:szCs w:val="24"/>
                        <w:u w:color="ffffff"/>
                        <w:rtl w:val="0"/>
                      </w:rPr>
                      <w:t>Fibromyalgia 2016</w:t>
                    </w:r>
                  </w:p>
                  <w:p>
                    <w:pPr>
                      <w:pStyle w:val="Body"/>
                      <w:spacing w:before="29"/>
                      <w:jc w:val="center"/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fr-FR"/>
                      </w:rPr>
                      <w:t>June 15-16, 2016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>
            <wp:anchor distT="152400" distB="152400" distL="152400" distR="152400" simplePos="0" relativeHeight="251662336" behindDoc="1" locked="0" layoutInCell="1" allowOverlap="1">
              <wp:simplePos x="0" y="0"/>
              <wp:positionH relativeFrom="page">
                <wp:posOffset>5955029</wp:posOffset>
              </wp:positionH>
              <wp:positionV relativeFrom="page">
                <wp:posOffset>10144759</wp:posOffset>
              </wp:positionV>
              <wp:extent cx="1160781" cy="330836"/>
              <wp:effectExtent l="0" t="0" r="0" b="0"/>
              <wp:wrapNone/>
              <wp:docPr id="1073741839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781" cy="33083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line="184" w:lineRule="exact"/>
                            <w:ind w:right="18"/>
                            <w:jc w:val="right"/>
                            <w:rPr>
                              <w:rFonts w:ascii="Arial" w:cs="Arial" w:hAnsi="Arial" w:eastAsia="Arial"/>
                              <w:color w:val="ffffff"/>
                              <w:sz w:val="16"/>
                              <w:szCs w:val="16"/>
                              <w:u w:color="ffffff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  <w:lang w:val="en-US"/>
                            </w:rPr>
                            <w:t>Volume 5, Issue 3(Suppl)</w:t>
                          </w:r>
                        </w:p>
                        <w:p>
                          <w:pPr>
                            <w:pStyle w:val="Body"/>
                            <w:spacing w:before="116"/>
                            <w:ind w:right="18"/>
                            <w:jc w:val="right"/>
                          </w:pPr>
                          <w:r>
                            <w:rPr>
                              <w:rFonts w:ascii="Minion Pro" w:cs="Minion Pro" w:hAnsi="Minion Pro" w:eastAsia="Minion Pro"/>
                              <w:color w:val="ffffff"/>
                              <w:sz w:val="16"/>
                              <w:szCs w:val="16"/>
                              <w:u w:color="ffffff"/>
                              <w:rtl w:val="0"/>
                            </w:rPr>
                            <w:t>Page 40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3" style="visibility:visible;position:absolute;margin-left:468.9pt;margin-top:798.8pt;width:91.4pt;height:26.1pt;z-index:-251654144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line="184" w:lineRule="exact"/>
                      <w:ind w:right="18"/>
                      <w:jc w:val="right"/>
                      <w:rPr>
                        <w:rFonts w:ascii="Arial" w:cs="Arial" w:hAnsi="Arial" w:eastAsia="Arial"/>
                        <w:color w:val="ffffff"/>
                        <w:sz w:val="16"/>
                        <w:szCs w:val="16"/>
                        <w:u w:color="ffffff"/>
                      </w:rPr>
                    </w:pPr>
                    <w:r>
                      <w:rPr>
                        <w:rFonts w:ascii="Arial"/>
                        <w:color w:val="ffffff"/>
                        <w:sz w:val="16"/>
                        <w:szCs w:val="16"/>
                        <w:u w:color="ffffff"/>
                        <w:rtl w:val="0"/>
                        <w:lang w:val="en-US"/>
                      </w:rPr>
                      <w:t>Volume 5, Issue 3(Suppl)</w:t>
                    </w:r>
                  </w:p>
                  <w:p>
                    <w:pPr>
                      <w:pStyle w:val="Body"/>
                      <w:spacing w:before="116"/>
                      <w:ind w:right="18"/>
                      <w:jc w:val="right"/>
                    </w:pPr>
                    <w:r>
                      <w:rPr>
                        <w:rFonts w:ascii="Minion Pro" w:cs="Minion Pro" w:hAnsi="Minion Pro" w:eastAsia="Minion Pro"/>
                        <w:color w:val="ffffff"/>
                        <w:sz w:val="16"/>
                        <w:szCs w:val="16"/>
                        <w:u w:color="ffffff"/>
                        <w:rtl w:val="0"/>
                      </w:rPr>
                      <w:t>Page 40</w:t>
                    </w:r>
                  </w:p>
                </w:txbxContent>
              </v:textbox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rFonts w:ascii="Tw Cen MT" w:cs="Tw Cen MT" w:hAnsi="Tw Cen MT" w:eastAsia="Tw Cen MT"/>
        <w:position w:val="0"/>
        <w:sz w:val="18"/>
        <w:szCs w:val="18"/>
      </w:rPr>
    </w:lvl>
    <w:lvl w:ilvl="1">
      <w:start w:val="1"/>
      <w:numFmt w:val="decimal"/>
      <w:suff w:val="tab"/>
      <w:lvlText w:val="%2."/>
      <w:lvlJc w:val="left"/>
      <w:pPr>
        <w:tabs>
          <w:tab w:val="num" w:pos="655"/>
          <w:tab w:val="clear" w:pos="0"/>
        </w:tabs>
        <w:ind w:left="65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2">
      <w:start w:val="1"/>
      <w:numFmt w:val="decimal"/>
      <w:suff w:val="tab"/>
      <w:lvlText w:val="%3."/>
      <w:lvlJc w:val="left"/>
      <w:pPr>
        <w:tabs>
          <w:tab w:val="num" w:pos="1015"/>
          <w:tab w:val="clear" w:pos="0"/>
        </w:tabs>
        <w:ind w:left="101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3">
      <w:start w:val="1"/>
      <w:numFmt w:val="decimal"/>
      <w:suff w:val="tab"/>
      <w:lvlText w:val="%4."/>
      <w:lvlJc w:val="left"/>
      <w:pPr>
        <w:tabs>
          <w:tab w:val="num" w:pos="1375"/>
          <w:tab w:val="clear" w:pos="0"/>
        </w:tabs>
        <w:ind w:left="137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4">
      <w:start w:val="1"/>
      <w:numFmt w:val="decimal"/>
      <w:suff w:val="tab"/>
      <w:lvlText w:val="%5."/>
      <w:lvlJc w:val="left"/>
      <w:pPr>
        <w:tabs>
          <w:tab w:val="num" w:pos="1735"/>
          <w:tab w:val="clear" w:pos="0"/>
        </w:tabs>
        <w:ind w:left="173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5">
      <w:start w:val="1"/>
      <w:numFmt w:val="decimal"/>
      <w:suff w:val="tab"/>
      <w:lvlText w:val="%6."/>
      <w:lvlJc w:val="left"/>
      <w:pPr>
        <w:tabs>
          <w:tab w:val="num" w:pos="2095"/>
          <w:tab w:val="clear" w:pos="0"/>
        </w:tabs>
        <w:ind w:left="209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6">
      <w:start w:val="1"/>
      <w:numFmt w:val="decimal"/>
      <w:suff w:val="tab"/>
      <w:lvlText w:val="%7."/>
      <w:lvlJc w:val="left"/>
      <w:pPr>
        <w:tabs>
          <w:tab w:val="num" w:pos="2455"/>
          <w:tab w:val="clear" w:pos="0"/>
        </w:tabs>
        <w:ind w:left="245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7">
      <w:start w:val="1"/>
      <w:numFmt w:val="decimal"/>
      <w:suff w:val="tab"/>
      <w:lvlText w:val="%8."/>
      <w:lvlJc w:val="left"/>
      <w:pPr>
        <w:tabs>
          <w:tab w:val="num" w:pos="2815"/>
          <w:tab w:val="clear" w:pos="0"/>
        </w:tabs>
        <w:ind w:left="281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8">
      <w:start w:val="1"/>
      <w:numFmt w:val="decimal"/>
      <w:suff w:val="tab"/>
      <w:lvlText w:val="%9."/>
      <w:lvlJc w:val="left"/>
      <w:pPr>
        <w:tabs>
          <w:tab w:val="num" w:pos="3175"/>
          <w:tab w:val="clear" w:pos="0"/>
        </w:tabs>
        <w:ind w:left="3175" w:hanging="295"/>
      </w:pPr>
      <w:rPr>
        <w:rFonts w:ascii="Tw Cen MT" w:cs="Tw Cen MT" w:hAnsi="Tw Cen MT" w:eastAsia="Tw Cen MT"/>
        <w:position w:val="0"/>
        <w:sz w:val="18"/>
        <w:szCs w:val="18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decimal"/>
      <w:suff w:val="tab"/>
      <w:lvlText w:val="%2."/>
      <w:lvlJc w:val="left"/>
      <w:pPr>
        <w:tabs>
          <w:tab w:val="num" w:pos="753"/>
          <w:tab w:val="clear" w:pos="0"/>
        </w:tabs>
        <w:ind w:left="75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decimal"/>
      <w:suff w:val="tab"/>
      <w:lvlText w:val="%3."/>
      <w:lvlJc w:val="left"/>
      <w:pPr>
        <w:tabs>
          <w:tab w:val="num" w:pos="1113"/>
          <w:tab w:val="clear" w:pos="0"/>
        </w:tabs>
        <w:ind w:left="111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1473"/>
          <w:tab w:val="clear" w:pos="0"/>
        </w:tabs>
        <w:ind w:left="147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decimal"/>
      <w:suff w:val="tab"/>
      <w:lvlText w:val="%5."/>
      <w:lvlJc w:val="left"/>
      <w:pPr>
        <w:tabs>
          <w:tab w:val="num" w:pos="1833"/>
          <w:tab w:val="clear" w:pos="0"/>
        </w:tabs>
        <w:ind w:left="183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decimal"/>
      <w:suff w:val="tab"/>
      <w:lvlText w:val="%6."/>
      <w:lvlJc w:val="left"/>
      <w:pPr>
        <w:tabs>
          <w:tab w:val="num" w:pos="2193"/>
          <w:tab w:val="clear" w:pos="0"/>
        </w:tabs>
        <w:ind w:left="219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2553"/>
          <w:tab w:val="clear" w:pos="0"/>
        </w:tabs>
        <w:ind w:left="255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decimal"/>
      <w:suff w:val="tab"/>
      <w:lvlText w:val="%8."/>
      <w:lvlJc w:val="left"/>
      <w:pPr>
        <w:tabs>
          <w:tab w:val="num" w:pos="2913"/>
          <w:tab w:val="clear" w:pos="0"/>
        </w:tabs>
        <w:ind w:left="291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decimal"/>
      <w:suff w:val="tab"/>
      <w:lvlText w:val="%9."/>
      <w:lvlJc w:val="left"/>
      <w:pPr>
        <w:tabs>
          <w:tab w:val="num" w:pos="3273"/>
          <w:tab w:val="clear" w:pos="0"/>
        </w:tabs>
        <w:ind w:left="3273" w:hanging="393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>
        <w:tabs>
          <w:tab w:val="num" w:pos="393"/>
          <w:tab w:val="clear" w:pos="0"/>
        </w:tabs>
        <w:ind w:left="393" w:hanging="393"/>
      </w:pPr>
      <w:rPr>
        <w:rFonts w:ascii="Tw Cen MT" w:cs="Tw Cen MT" w:hAnsi="Tw Cen MT" w:eastAsia="Tw Cen MT"/>
        <w:position w:val="0"/>
        <w:sz w:val="18"/>
        <w:szCs w:val="18"/>
      </w:rPr>
    </w:lvl>
    <w:lvl w:ilvl="1">
      <w:start w:val="1"/>
      <w:numFmt w:val="decimal"/>
      <w:suff w:val="tab"/>
      <w:lvlText w:val="%2."/>
      <w:lvlJc w:val="left"/>
      <w:pPr>
        <w:tabs>
          <w:tab w:val="num" w:pos="655"/>
          <w:tab w:val="clear" w:pos="0"/>
        </w:tabs>
        <w:ind w:left="65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2">
      <w:start w:val="1"/>
      <w:numFmt w:val="decimal"/>
      <w:suff w:val="tab"/>
      <w:lvlText w:val="%3."/>
      <w:lvlJc w:val="left"/>
      <w:pPr>
        <w:tabs>
          <w:tab w:val="num" w:pos="1015"/>
          <w:tab w:val="clear" w:pos="0"/>
        </w:tabs>
        <w:ind w:left="101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3">
      <w:start w:val="1"/>
      <w:numFmt w:val="decimal"/>
      <w:suff w:val="tab"/>
      <w:lvlText w:val="%4."/>
      <w:lvlJc w:val="left"/>
      <w:pPr>
        <w:tabs>
          <w:tab w:val="num" w:pos="1375"/>
          <w:tab w:val="clear" w:pos="0"/>
        </w:tabs>
        <w:ind w:left="137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4">
      <w:start w:val="1"/>
      <w:numFmt w:val="decimal"/>
      <w:suff w:val="tab"/>
      <w:lvlText w:val="%5."/>
      <w:lvlJc w:val="left"/>
      <w:pPr>
        <w:tabs>
          <w:tab w:val="num" w:pos="1735"/>
          <w:tab w:val="clear" w:pos="0"/>
        </w:tabs>
        <w:ind w:left="173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5">
      <w:start w:val="1"/>
      <w:numFmt w:val="decimal"/>
      <w:suff w:val="tab"/>
      <w:lvlText w:val="%6."/>
      <w:lvlJc w:val="left"/>
      <w:pPr>
        <w:tabs>
          <w:tab w:val="num" w:pos="2095"/>
          <w:tab w:val="clear" w:pos="0"/>
        </w:tabs>
        <w:ind w:left="209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6">
      <w:start w:val="1"/>
      <w:numFmt w:val="decimal"/>
      <w:suff w:val="tab"/>
      <w:lvlText w:val="%7."/>
      <w:lvlJc w:val="left"/>
      <w:pPr>
        <w:tabs>
          <w:tab w:val="num" w:pos="2455"/>
          <w:tab w:val="clear" w:pos="0"/>
        </w:tabs>
        <w:ind w:left="245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7">
      <w:start w:val="1"/>
      <w:numFmt w:val="decimal"/>
      <w:suff w:val="tab"/>
      <w:lvlText w:val="%8."/>
      <w:lvlJc w:val="left"/>
      <w:pPr>
        <w:tabs>
          <w:tab w:val="num" w:pos="2815"/>
          <w:tab w:val="clear" w:pos="0"/>
        </w:tabs>
        <w:ind w:left="2815" w:hanging="295"/>
      </w:pPr>
      <w:rPr>
        <w:rFonts w:ascii="Tw Cen MT" w:cs="Tw Cen MT" w:hAnsi="Tw Cen MT" w:eastAsia="Tw Cen MT"/>
        <w:position w:val="0"/>
        <w:sz w:val="18"/>
        <w:szCs w:val="18"/>
      </w:rPr>
    </w:lvl>
    <w:lvl w:ilvl="8">
      <w:start w:val="1"/>
      <w:numFmt w:val="decimal"/>
      <w:suff w:val="tab"/>
      <w:lvlText w:val="%9."/>
      <w:lvlJc w:val="left"/>
      <w:pPr>
        <w:tabs>
          <w:tab w:val="num" w:pos="3175"/>
          <w:tab w:val="clear" w:pos="0"/>
        </w:tabs>
        <w:ind w:left="3175" w:hanging="295"/>
      </w:pPr>
      <w:rPr>
        <w:rFonts w:ascii="Tw Cen MT" w:cs="Tw Cen MT" w:hAnsi="Tw Cen MT" w:eastAsia="Tw Cen MT"/>
        <w:position w:val="0"/>
        <w:sz w:val="18"/>
        <w:szCs w:val="1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w Cen MT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fr-FR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color w:val="ffffff"/>
      <w:sz w:val="14"/>
      <w:szCs w:val="14"/>
      <w:u w:color="ffffff"/>
    </w:rPr>
  </w:style>
  <w:style w:type="paragraph" w:styleId="Heading 3">
    <w:name w:val="Heading 3"/>
    <w:next w:val="Heading 3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100" w:right="0" w:firstLine="0"/>
      <w:jc w:val="left"/>
      <w:outlineLvl w:val="2"/>
    </w:pPr>
    <w:rPr>
      <w:rFonts w:ascii="Arial Bold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character" w:styleId="Hyperlink.1">
    <w:name w:val="Hyperlink.1"/>
    <w:basedOn w:val="Hyperlink"/>
    <w:next w:val="Hyperlink.1"/>
    <w:rPr/>
  </w:style>
  <w:style w:type="character" w:styleId="Hyperlink.2">
    <w:name w:val="Hyperlink.2"/>
    <w:basedOn w:val="Hyperlink"/>
    <w:next w:val="Hyperlink.2"/>
    <w:rPr/>
  </w:style>
  <w:style w:type="character" w:styleId="Hyperlink.3">
    <w:name w:val="Hyperlink.3"/>
    <w:basedOn w:val="Hyperlink"/>
    <w:next w:val="Hyperlink.3"/>
    <w:rPr/>
  </w:style>
  <w:style w:type="numbering" w:styleId="List 0">
    <w:name w:val="List 0"/>
    <w:basedOn w:val="Numbered"/>
    <w:next w:val="List 0"/>
    <w:pPr>
      <w:numPr>
        <w:numId w:val="1"/>
      </w:numPr>
    </w:pPr>
  </w:style>
  <w:style w:type="numbering" w:styleId="Numbered">
    <w:name w:val="Numbered"/>
    <w:next w:val="Numbered"/>
    <w:pPr>
      <w:numPr>
        <w:numId w:val="2"/>
      </w:numPr>
    </w:pPr>
  </w:style>
  <w:style w:type="character" w:styleId="Hyperlink.4">
    <w:name w:val="Hyperlink.4"/>
    <w:basedOn w:val="Hyperlink"/>
    <w:next w:val="Hyperlink.4"/>
    <w:rPr/>
  </w:style>
  <w:style w:type="character" w:styleId="Hyperlink.5">
    <w:name w:val="Hyperlink.5"/>
    <w:basedOn w:val="Hyperlink"/>
    <w:next w:val="Hyperlink.5"/>
    <w:rPr/>
  </w:style>
  <w:style w:type="character" w:styleId="Hyperlink.6">
    <w:name w:val="Hyperlink.6"/>
    <w:basedOn w:val="Hyperlink"/>
    <w:next w:val="Hyperlink.6"/>
    <w:rPr/>
  </w:style>
  <w:style w:type="character" w:styleId="Hyperlink.7">
    <w:name w:val="Hyperlink.7"/>
    <w:basedOn w:val="Hyperlink"/>
    <w:next w:val="Hyperlink.7"/>
    <w:rPr/>
  </w:style>
  <w:style w:type="character" w:styleId="Hyperlink.8">
    <w:name w:val="Hyperlink.8"/>
    <w:basedOn w:val="Hyperlink"/>
    <w:next w:val="Hyperlink.8"/>
    <w:rPr/>
  </w:style>
  <w:style w:type="character" w:styleId="Hyperlink.9">
    <w:name w:val="Hyperlink.9"/>
    <w:basedOn w:val="Hyperlink"/>
    <w:next w:val="Hyperlink.9"/>
    <w:rPr/>
  </w:style>
  <w:style w:type="character" w:styleId="Hyperlink.10">
    <w:name w:val="Hyperlink.10"/>
    <w:basedOn w:val="Hyperlink"/>
    <w:next w:val="Hyperlink.10"/>
    <w:rPr/>
  </w:style>
  <w:style w:type="character" w:styleId="Hyperlink.11">
    <w:name w:val="Hyperlink.11"/>
    <w:basedOn w:val="Hyperlink"/>
    <w:next w:val="Hyperlink.11"/>
    <w:rPr/>
  </w:style>
  <w:style w:type="character" w:styleId="Hyperlink.12">
    <w:name w:val="Hyperlink.12"/>
    <w:basedOn w:val="Hyperlink"/>
    <w:next w:val="Hyperlink.12"/>
    <w:rPr/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character" w:styleId="Hyperlink.13">
    <w:name w:val="Hyperlink.13"/>
    <w:basedOn w:val="Hyperlink"/>
    <w:next w:val="Hyperlink.13"/>
    <w:rPr>
      <w:color w:val="0000ff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yperlink" Target="http://www.ncbi.nlm.nih.gov/pubmed/?term=rudzki%2520mk%255bauthor%255d&amp;cauthor=true&amp;cauthor_uid=22533159" TargetMode="External"/><Relationship Id="rId7" Type="http://schemas.openxmlformats.org/officeDocument/2006/relationships/hyperlink" Target="http://www.ncbi.nlm.nih.gov/pubmed/?term=buda%2520kk%255bauthor%255d&amp;cauthor=true&amp;cauthor_uid=22533159" TargetMode="External"/><Relationship Id="rId8" Type="http://schemas.openxmlformats.org/officeDocument/2006/relationships/hyperlink" Target="http://www.ncbi.nlm.nih.gov/pubmed/?term=arendt%2520j%255bauthor%255d&amp;cauthor=true&amp;cauthor_uid=22533159" TargetMode="External"/><Relationship Id="rId9" Type="http://schemas.openxmlformats.org/officeDocument/2006/relationships/image" Target="media/image1.png"/><Relationship Id="rId10" Type="http://schemas.openxmlformats.org/officeDocument/2006/relationships/hyperlink" Target="http://www.ncbi.nlm.nih.gov/pubmed/?term=Cobos%20Campos%20R%5BAuthor%5D&amp;cauthor=true&amp;cauthor_uid=25867241" TargetMode="External"/><Relationship Id="rId11" Type="http://schemas.openxmlformats.org/officeDocument/2006/relationships/hyperlink" Target="http://www.ncbi.nlm.nih.gov/pubmed/?term=Parraza%20Diez%20N%5BAuthor%5D&amp;cauthor=true&amp;cauthor_uid=25867241" TargetMode="External"/><Relationship Id="rId12" Type="http://schemas.openxmlformats.org/officeDocument/2006/relationships/hyperlink" Target="http://www.ncbi.nlm.nih.gov/pubmed/?term=Aizpuru%20Barandiaran%20F%5BAuthor%5D&amp;cauthor=true&amp;cauthor_uid=25867241" TargetMode="External"/><Relationship Id="rId13" Type="http://schemas.openxmlformats.org/officeDocument/2006/relationships/hyperlink" Target="http://www.ncbi.nlm.nih.gov/pubmed/?term=wang%2520jx%255bauthor%255d&amp;cauthor=true&amp;cauthor_uid=19549420" TargetMode="External"/><Relationship Id="rId14" Type="http://schemas.openxmlformats.org/officeDocument/2006/relationships/hyperlink" Target="http://www.ncbi.nlm.nih.gov/pubmed/?term=han%2520y%255bauthor%255d&amp;cauthor=true&amp;cauthor_uid=19549420" TargetMode="External"/><Relationship Id="rId15" Type="http://schemas.openxmlformats.org/officeDocument/2006/relationships/hyperlink" Target="http://www.ncbi.nlm.nih.gov/pubmed/?term=lyras%2520dn%255bauthor%255d&amp;cauthor=true&amp;cauthor_uid=18703188" TargetMode="External"/><Relationship Id="rId16" Type="http://schemas.openxmlformats.org/officeDocument/2006/relationships/hyperlink" Target="http://www.ncbi.nlm.nih.gov/pubmed/?term=verettas%2520d%255bauthor%255d&amp;cauthor=true&amp;cauthor_uid=18703188" TargetMode="External"/><Relationship Id="rId17" Type="http://schemas.openxmlformats.org/officeDocument/2006/relationships/hyperlink" Target="http://www.ncbi.nlm.nih.gov/pubmed/?term=tilkeridis%2520k%255bauthor%255d&amp;cauthor=true&amp;cauthor_uid=18703188" TargetMode="External"/><Relationship Id="rId18" Type="http://schemas.openxmlformats.org/officeDocument/2006/relationships/hyperlink" Target="http://www.ncbi.nlm.nih.gov/pubmed/?term=tryfonidis%2520m%255bauthor%255d&amp;cauthor=true&amp;cauthor_uid=18703188" TargetMode="External"/><Relationship Id="rId19" Type="http://schemas.openxmlformats.org/officeDocument/2006/relationships/header" Target="header2.xml"/><Relationship Id="rId20" Type="http://schemas.openxmlformats.org/officeDocument/2006/relationships/footer" Target="footer2.xml"/><Relationship Id="rId21" Type="http://schemas.openxmlformats.org/officeDocument/2006/relationships/hyperlink" Target="mailto:drsandeepshrivastava@hotmail.com?subject=" TargetMode="External"/><Relationship Id="rId22" Type="http://schemas.openxmlformats.org/officeDocument/2006/relationships/header" Target="header3.xml"/><Relationship Id="rId23" Type="http://schemas.openxmlformats.org/officeDocument/2006/relationships/footer" Target="footer3.xml"/><Relationship Id="rId24" Type="http://schemas.openxmlformats.org/officeDocument/2006/relationships/numbering" Target="numbering.xml"/><Relationship Id="rId25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w Cen MT"/>
            <a:ea typeface="Tw Cen MT"/>
            <a:cs typeface="Tw Cen MT"/>
            <a:sym typeface="Tw Cen M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