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"/>
        <w:jc w:val="both"/>
        <w:rPr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 xml:space="preserve">                                                                                                                       </w:t>
      </w:r>
    </w:p>
    <w:p>
      <w:pPr>
        <w:pStyle w:val="Normal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Management and outcomes of trauma patients treated with open abdomen in a tertiary hospital in Brazil</w:t>
      </w:r>
    </w:p>
    <w:p>
      <w:pPr>
        <w:pStyle w:val="Normal"/>
        <w:jc w:val="center"/>
        <w:rPr>
          <w:b w:val="1"/>
          <w:bCs w:val="1"/>
        </w:rPr>
      </w:pPr>
    </w:p>
    <w:p>
      <w:pPr>
        <w:pStyle w:val="Normal"/>
        <w:ind w:firstLine="708"/>
        <w:jc w:val="center"/>
        <w:rPr>
          <w:vertAlign w:val="superscript"/>
        </w:rPr>
      </w:pPr>
      <w:r>
        <w:rPr>
          <w:u w:val="single"/>
          <w:rtl w:val="0"/>
          <w:lang w:val="it-IT"/>
        </w:rPr>
        <w:t>Carlos Menegozzo</w:t>
      </w:r>
      <w:r>
        <w:rPr>
          <w:u w:val="single"/>
          <w:vertAlign w:val="superscript"/>
          <w:rtl w:val="0"/>
          <w:lang w:val="it-IT"/>
        </w:rPr>
        <w:t>a</w:t>
      </w:r>
      <w:r>
        <w:rPr>
          <w:rtl w:val="0"/>
          <w:lang w:val="it-IT"/>
        </w:rPr>
        <w:t xml:space="preserve">, </w:t>
      </w:r>
      <w:r>
        <w:rPr>
          <w:rtl w:val="0"/>
          <w:lang w:val="it-IT"/>
        </w:rPr>
        <w:t>Adilson Costa Rodrigues, Pedro Henrique Ferreira Alves, Edivaldo Masazo Utiyama</w:t>
      </w:r>
    </w:p>
    <w:p>
      <w:pPr>
        <w:pStyle w:val="Normal"/>
        <w:jc w:val="center"/>
        <w:rPr>
          <w:vertAlign w:val="superscript"/>
        </w:rPr>
      </w:pPr>
    </w:p>
    <w:p>
      <w:pPr>
        <w:pStyle w:val="Normal"/>
        <w:rPr>
          <w:color w:val="0000ff"/>
          <w:sz w:val="36"/>
          <w:szCs w:val="36"/>
          <w:u w:color="0000ff"/>
        </w:rPr>
      </w:pPr>
      <w:r>
        <w:rPr>
          <w:rFonts w:ascii="Times New Roman" w:cs="Arial Unicode MS" w:hAnsi="Arial Unicode MS" w:eastAsia="Arial Unicode MS"/>
          <w:i w:val="1"/>
          <w:iCs w:val="1"/>
          <w:vertAlign w:val="superscript"/>
          <w:rtl w:val="0"/>
          <w:lang w:val="it-IT"/>
        </w:rPr>
        <w:t>a</w:t>
      </w:r>
      <w:r>
        <w:rPr>
          <w:rFonts w:ascii="Times New Roman" w:cs="Arial Unicode MS" w:hAnsi="Arial Unicode MS" w:eastAsia="Arial Unicode MS"/>
          <w:i w:val="1"/>
          <w:iCs w:val="1"/>
          <w:rtl w:val="0"/>
          <w:lang w:val="it-IT"/>
        </w:rPr>
        <w:t>S</w:t>
      </w:r>
      <w:r>
        <w:rPr>
          <w:rFonts w:ascii="Arial Unicode MS" w:cs="Arial Unicode MS" w:hAnsi="Times New Roman" w:eastAsia="Arial Unicode MS" w:hint="default"/>
          <w:i w:val="1"/>
          <w:iCs w:val="1"/>
          <w:rtl w:val="0"/>
          <w:lang w:val="it-IT"/>
        </w:rPr>
        <w:t>ã</w:t>
      </w:r>
      <w:r>
        <w:rPr>
          <w:rFonts w:ascii="Times New Roman" w:cs="Arial Unicode MS" w:hAnsi="Arial Unicode MS" w:eastAsia="Arial Unicode MS"/>
          <w:i w:val="1"/>
          <w:iCs w:val="1"/>
          <w:rtl w:val="0"/>
          <w:lang w:val="it-IT"/>
        </w:rPr>
        <w:t>o Paulo University School of Medicine</w:t>
      </w:r>
      <w:r>
        <w:rPr>
          <w:rFonts w:ascii="Times New Roman" w:cs="Arial Unicode MS" w:hAnsi="Arial Unicode MS" w:eastAsia="Arial Unicode MS"/>
          <w:i w:val="1"/>
          <w:iCs w:val="1"/>
          <w:rtl w:val="0"/>
          <w:lang w:val="it-IT"/>
        </w:rPr>
        <w:t>: Av. Dr. En</w:t>
      </w:r>
      <w:r>
        <w:rPr>
          <w:rFonts w:ascii="Arial Unicode MS" w:cs="Arial Unicode MS" w:hAnsi="Times New Roman" w:eastAsia="Arial Unicode MS" w:hint="default"/>
          <w:i w:val="1"/>
          <w:iCs w:val="1"/>
          <w:rtl w:val="0"/>
          <w:lang w:val="it-IT"/>
        </w:rPr>
        <w:t>é</w:t>
      </w:r>
      <w:r>
        <w:rPr>
          <w:rFonts w:ascii="Times New Roman" w:cs="Arial Unicode MS" w:hAnsi="Arial Unicode MS" w:eastAsia="Arial Unicode MS"/>
          <w:i w:val="1"/>
          <w:iCs w:val="1"/>
          <w:rtl w:val="0"/>
          <w:lang w:val="it-IT"/>
        </w:rPr>
        <w:t>as de Carvalho Aguiar, 255 - 8</w:t>
      </w:r>
      <w:r>
        <w:rPr>
          <w:rFonts w:ascii="Arial Unicode MS" w:cs="Arial Unicode MS" w:hAnsi="Times New Roman" w:eastAsia="Arial Unicode MS" w:hint="default"/>
          <w:i w:val="1"/>
          <w:iCs w:val="1"/>
          <w:rtl w:val="0"/>
          <w:lang w:val="it-IT"/>
        </w:rPr>
        <w:t xml:space="preserve">º </w:t>
      </w:r>
      <w:r>
        <w:rPr>
          <w:rFonts w:ascii="Times New Roman" w:cs="Arial Unicode MS" w:hAnsi="Arial Unicode MS" w:eastAsia="Arial Unicode MS"/>
          <w:i w:val="1"/>
          <w:iCs w:val="1"/>
          <w:rtl w:val="0"/>
          <w:lang w:val="it-IT"/>
        </w:rPr>
        <w:t>andar - Sala 8131</w:t>
      </w:r>
      <w:r>
        <w:rPr>
          <w:rFonts w:ascii="Times New Roman" w:cs="Arial Unicode MS" w:hAnsi="Arial Unicode MS" w:eastAsia="Arial Unicode MS"/>
          <w:i w:val="1"/>
          <w:iCs w:val="1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i w:val="1"/>
          <w:iCs w:val="1"/>
          <w:rtl w:val="0"/>
          <w:lang w:val="it-IT"/>
        </w:rPr>
        <w:t>Telefone : 55 11 2661-8180 / 2661-6453 / 2661-6328S</w:t>
      </w:r>
      <w:r>
        <w:rPr>
          <w:rFonts w:ascii="Arial Unicode MS" w:cs="Arial Unicode MS" w:hAnsi="Times New Roman" w:eastAsia="Arial Unicode MS" w:hint="default"/>
          <w:i w:val="1"/>
          <w:iCs w:val="1"/>
          <w:rtl w:val="0"/>
          <w:lang w:val="it-IT"/>
        </w:rPr>
        <w:t>ã</w:t>
      </w:r>
      <w:r>
        <w:rPr>
          <w:rFonts w:ascii="Times New Roman" w:cs="Arial Unicode MS" w:hAnsi="Arial Unicode MS" w:eastAsia="Arial Unicode MS"/>
          <w:i w:val="1"/>
          <w:iCs w:val="1"/>
          <w:rtl w:val="0"/>
          <w:lang w:val="it-IT"/>
        </w:rPr>
        <w:t xml:space="preserve">o Paulo - SP </w:t>
      </w:r>
      <w:r>
        <w:rPr>
          <w:rFonts w:ascii="Arial Unicode MS" w:cs="Arial Unicode MS" w:hAnsi="Times New Roman" w:eastAsia="Arial Unicode MS" w:hint="default"/>
          <w:i w:val="1"/>
          <w:iCs w:val="1"/>
          <w:rtl w:val="0"/>
          <w:lang w:val="it-IT"/>
        </w:rPr>
        <w:t> </w:t>
      </w:r>
      <w:r>
        <w:rPr>
          <w:rFonts w:ascii="Times New Roman" w:cs="Arial Unicode MS" w:hAnsi="Arial Unicode MS" w:eastAsia="Arial Unicode MS"/>
          <w:i w:val="1"/>
          <w:iCs w:val="1"/>
          <w:rtl w:val="0"/>
          <w:lang w:val="it-IT"/>
        </w:rPr>
        <w:t>Brasil</w:t>
      </w:r>
    </w:p>
    <w:p>
      <w:pPr>
        <w:pStyle w:val="Normal"/>
        <w:spacing w:line="360" w:lineRule="auto"/>
        <w:ind w:firstLine="720"/>
        <w:jc w:val="both"/>
        <w:rPr>
          <w:color w:val="0000ff"/>
          <w:sz w:val="36"/>
          <w:szCs w:val="36"/>
          <w:u w:color="0000ff"/>
        </w:rPr>
      </w:pPr>
    </w:p>
    <w:p>
      <w:pPr>
        <w:pStyle w:val="Normal"/>
        <w:spacing w:line="360" w:lineRule="auto"/>
        <w:ind w:firstLine="720"/>
        <w:jc w:val="both"/>
        <w:rPr>
          <w:color w:val="000000"/>
          <w:u w:color="000000"/>
          <w:rtl w:val="0"/>
        </w:rPr>
      </w:pPr>
      <w:r>
        <w:rPr>
          <w:color w:val="000000"/>
          <w:u w:color="000000"/>
          <w:rtl w:val="0"/>
          <w:lang w:val="it-IT"/>
        </w:rPr>
        <w:t>S</w:t>
      </w:r>
      <w:r>
        <w:rPr>
          <w:color w:val="000000"/>
          <w:u w:color="000000"/>
          <w:rtl w:val="0"/>
          <w:lang w:val="it-IT"/>
        </w:rPr>
        <w:t>everely injured patients often require damage control surgery and open abdomen. The Lethal Triad is a frequent and is associated with worst prognosis. Therefore, morbidity and mortality are high. We analyze data in a one-year period, and discuss factors associated with poor outcome and fascial closure.</w:t>
      </w:r>
      <w:r>
        <w:rPr>
          <w:color w:val="000000"/>
          <w:u w:color="000000"/>
          <w:rtl w:val="0"/>
          <w:lang w:val="it-IT"/>
        </w:rPr>
        <w:t xml:space="preserve"> P</w:t>
      </w:r>
      <w:r>
        <w:rPr>
          <w:color w:val="000000"/>
          <w:u w:color="000000"/>
          <w:rtl w:val="0"/>
          <w:lang w:val="it-IT"/>
        </w:rPr>
        <w:t>atients admitted who underwent damage control surgery and open abdomen were enrolled.</w:t>
      </w:r>
      <w:r>
        <w:rPr>
          <w:color w:val="000000"/>
          <w:u w:color="000000"/>
          <w:rtl w:val="0"/>
          <w:lang w:val="it-IT"/>
        </w:rPr>
        <w:t xml:space="preserve"> P</w:t>
      </w:r>
      <w:r>
        <w:rPr>
          <w:color w:val="000000"/>
          <w:u w:color="000000"/>
          <w:rtl w:val="0"/>
          <w:lang w:val="it-IT"/>
        </w:rPr>
        <w:t>atients</w:t>
      </w:r>
      <w:r>
        <w:rPr>
          <w:color w:val="000000"/>
          <w:u w:color="000000"/>
          <w:rtl w:val="0"/>
          <w:lang w:val="it-IT"/>
        </w:rPr>
        <w:t xml:space="preserve"> (27)</w:t>
      </w:r>
      <w:r>
        <w:rPr>
          <w:color w:val="000000"/>
          <w:u w:color="000000"/>
          <w:rtl w:val="0"/>
          <w:lang w:val="it-IT"/>
        </w:rPr>
        <w:t xml:space="preserve"> underwent damage control with open abdomen during one year. Most of them were male  (85%) and the mean age was </w:t>
      </w:r>
      <w:r>
        <w:rPr>
          <w:color w:val="000000"/>
          <w:u w:color="000000"/>
          <w:rtl w:val="0"/>
          <w:lang w:val="it-IT"/>
        </w:rPr>
        <w:t>31</w:t>
      </w:r>
      <w:r>
        <w:rPr>
          <w:color w:val="000000"/>
          <w:u w:color="000000"/>
          <w:rtl w:val="0"/>
          <w:lang w:val="it-IT"/>
        </w:rPr>
        <w:t xml:space="preserve"> years. Seventeen (63%) were involved in a blunt trauma and motor vehicle accidents were the most common mechanism (53%). Of the</w:t>
      </w:r>
      <w:r>
        <w:rPr>
          <w:color w:val="000000"/>
          <w:u w:color="000000"/>
          <w:rtl w:val="0"/>
          <w:lang w:val="it-IT"/>
        </w:rPr>
        <w:t xml:space="preserve"> </w:t>
      </w:r>
      <w:r>
        <w:rPr>
          <w:color w:val="000000"/>
          <w:u w:color="000000"/>
          <w:rtl w:val="0"/>
          <w:lang w:val="it-IT"/>
        </w:rPr>
        <w:t>penetrating trauma cases, gunshot wound (60%) was more frequent than knife injuries. Mean ISS was 27. Mean lactate and base excess at admission were 66 and -9.7, respectively. Mean fibrinogen and INR were 149 and 1.9, respectively. Average of ICU days and in-hospital length of stay were 17 and 29 days, respectively. Sixteen patients (60%) successfully underwent primary fascial closure, eight of them in the first reoperation. Two patients had skin closure only. Twenty-four (89%) patients sustained 56 different complications, the most common being renal insufficiency, followed by intestinal fistulae, wound infection and intrabdominal abscess. Thirteen patients (48%) died, four of them (30%) during the first 48h</w:t>
      </w:r>
      <w:r>
        <w:rPr>
          <w:color w:val="000000"/>
          <w:u w:color="000000"/>
          <w:rtl w:val="0"/>
          <w:lang w:val="it-IT"/>
        </w:rPr>
        <w:t>.</w:t>
      </w:r>
    </w:p>
    <w:p>
      <w:pPr>
        <w:pStyle w:val="Normal"/>
        <w:spacing w:line="360" w:lineRule="auto"/>
        <w:ind w:firstLine="720"/>
        <w:jc w:val="both"/>
        <w:rPr>
          <w:color w:val="000000"/>
          <w:u w:color="000000"/>
        </w:rPr>
      </w:pPr>
      <w:r>
        <w:rPr>
          <w:color w:val="000000"/>
          <w:u w:color="000000"/>
          <w:rtl w:val="0"/>
          <w:lang w:val="it-IT"/>
        </w:rPr>
        <w:t>D</w:t>
      </w:r>
      <w:r>
        <w:rPr>
          <w:color w:val="000000"/>
          <w:u w:color="000000"/>
          <w:rtl w:val="0"/>
          <w:lang w:val="it-IT"/>
        </w:rPr>
        <w:t>amage control surgery is mostly employed in severe physically stressed patients. They are often acidotic, coagulopathic and hypothermic on admission, and demonstrate a high ISS. Mortality and morbidity are both high. Primary fascial closure is difficult, but feasible</w:t>
      </w:r>
      <w:r>
        <w:rPr>
          <w:color w:val="000000"/>
          <w:u w:color="000000"/>
          <w:rtl w:val="0"/>
          <w:lang w:val="it-IT"/>
        </w:rPr>
        <w:t>.</w:t>
      </w:r>
    </w:p>
    <w:p>
      <w:pPr>
        <w:pStyle w:val="Normal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Biography</w:t>
      </w:r>
    </w:p>
    <w:p>
      <w:pPr>
        <w:pStyle w:val="Normal"/>
        <w:jc w:val="both"/>
        <w:rPr>
          <w:b w:val="1"/>
          <w:bCs w:val="1"/>
        </w:rPr>
      </w:pPr>
    </w:p>
    <w:p>
      <w:pPr>
        <w:pStyle w:val="Normal"/>
        <w:spacing w:line="360" w:lineRule="auto"/>
        <w:jc w:val="both"/>
        <w:rPr>
          <w:rtl w:val="0"/>
        </w:rPr>
      </w:pPr>
      <w:r>
        <w:rPr>
          <w:rtl w:val="0"/>
          <w:lang w:val="it-IT"/>
        </w:rPr>
        <w:t xml:space="preserve">Dr. </w:t>
      </w:r>
      <w:r>
        <w:rPr>
          <w:rtl w:val="0"/>
          <w:lang w:val="it-IT"/>
        </w:rPr>
        <w:t>Carlos Augusto Metidieri Menegozzo</w:t>
      </w:r>
      <w:r>
        <w:rPr>
          <w:rtl w:val="0"/>
          <w:lang w:val="it-IT"/>
        </w:rPr>
        <w:t xml:space="preserve">  has been Graduated from </w:t>
      </w:r>
      <w:r>
        <w:rPr>
          <w:rtl w:val="0"/>
          <w:lang w:val="it-IT"/>
        </w:rPr>
        <w:t>Federal University of S</w:t>
      </w:r>
      <w:r>
        <w:rPr>
          <w:rFonts w:hAnsi="Times New Roman" w:hint="default"/>
          <w:rtl w:val="0"/>
          <w:lang w:val="it-IT"/>
        </w:rPr>
        <w:t>ã</w:t>
      </w:r>
      <w:r>
        <w:rPr>
          <w:rtl w:val="0"/>
          <w:lang w:val="it-IT"/>
        </w:rPr>
        <w:t xml:space="preserve">o Paulo </w:t>
      </w:r>
      <w:r>
        <w:rPr>
          <w:rtl w:val="0"/>
          <w:lang w:val="it-IT"/>
        </w:rPr>
        <w:t>, with the specialt</w:t>
      </w:r>
      <w:r>
        <w:rPr>
          <w:rtl w:val="0"/>
          <w:lang w:val="it-IT"/>
        </w:rPr>
        <w:t xml:space="preserve">y </w:t>
      </w:r>
      <w:r>
        <w:rPr>
          <w:rtl w:val="0"/>
          <w:lang w:val="it-IT"/>
        </w:rPr>
        <w:t xml:space="preserve">in </w:t>
      </w:r>
      <w:r>
        <w:rPr>
          <w:rtl w:val="0"/>
          <w:lang w:val="it-IT"/>
        </w:rPr>
        <w:t>General Surgery</w:t>
      </w:r>
      <w:r>
        <w:rPr>
          <w:rtl w:val="0"/>
          <w:lang w:val="it-IT"/>
        </w:rPr>
        <w:t xml:space="preserve">, </w:t>
      </w:r>
      <w:r>
        <w:rPr>
          <w:rtl w:val="0"/>
          <w:lang w:val="it-IT"/>
        </w:rPr>
        <w:t xml:space="preserve">Acute Care </w:t>
      </w:r>
      <w:r>
        <w:rPr>
          <w:rtl w:val="0"/>
          <w:lang w:val="it-IT"/>
        </w:rPr>
        <w:t xml:space="preserve">and </w:t>
      </w:r>
      <w:r>
        <w:rPr>
          <w:rtl w:val="0"/>
          <w:lang w:val="it-IT"/>
        </w:rPr>
        <w:t>Trauma Surgery. T</w:t>
      </w:r>
      <w:r>
        <w:rPr>
          <w:rtl w:val="0"/>
          <w:lang w:val="it-IT"/>
        </w:rPr>
        <w:t xml:space="preserve">hen started working at The </w:t>
      </w:r>
      <w:r>
        <w:rPr>
          <w:rtl w:val="0"/>
          <w:lang w:val="it-IT"/>
        </w:rPr>
        <w:t>Hospital das Cl</w:t>
      </w:r>
      <w:r>
        <w:rPr>
          <w:rFonts w:hAnsi="Times New Roman" w:hint="default"/>
          <w:rtl w:val="0"/>
          <w:lang w:val="it-IT"/>
        </w:rPr>
        <w:t>í</w:t>
      </w:r>
      <w:r>
        <w:rPr>
          <w:rtl w:val="0"/>
          <w:lang w:val="it-IT"/>
        </w:rPr>
        <w:t xml:space="preserve">nicas </w:t>
      </w:r>
      <w:r>
        <w:rPr>
          <w:rtl w:val="0"/>
          <w:lang w:val="it-IT"/>
        </w:rPr>
        <w:t xml:space="preserve">where he has continued his research. Presently he has been working at the at the </w:t>
      </w:r>
      <w:r>
        <w:rPr>
          <w:rtl w:val="0"/>
          <w:lang w:val="it-IT"/>
        </w:rPr>
        <w:t>S</w:t>
      </w:r>
      <w:r>
        <w:rPr>
          <w:rFonts w:hAnsi="Times New Roman" w:hint="default"/>
          <w:rtl w:val="0"/>
          <w:lang w:val="it-IT"/>
        </w:rPr>
        <w:t>ã</w:t>
      </w:r>
      <w:r>
        <w:rPr>
          <w:rtl w:val="0"/>
          <w:lang w:val="it-IT"/>
        </w:rPr>
        <w:t xml:space="preserve">o Paulo </w:t>
      </w:r>
      <w:r>
        <w:rPr>
          <w:rtl w:val="0"/>
          <w:lang w:val="it-IT"/>
        </w:rPr>
        <w:t>City.</w:t>
        <w:tab/>
      </w:r>
    </w:p>
    <w:p>
      <w:pPr>
        <w:pStyle w:val="Normal"/>
        <w:jc w:val="both"/>
        <w:rPr>
          <w:sz w:val="16"/>
          <w:szCs w:val="16"/>
        </w:rPr>
      </w:pPr>
    </w:p>
    <w:p>
      <w:pPr>
        <w:pStyle w:val="Normal"/>
        <w:rPr>
          <w:rtl w:val="0"/>
        </w:rPr>
      </w:pPr>
      <w:r>
        <w:rPr>
          <w:rFonts w:ascii="Times New Roman" w:cs="Arial Unicode MS" w:hAnsi="Arial Unicode MS" w:eastAsia="Arial Unicode MS"/>
          <w:b w:val="1"/>
          <w:bCs w:val="1"/>
          <w:rtl w:val="0"/>
          <w:lang w:val="it-IT"/>
        </w:rPr>
        <w:t>Keywords:</w:t>
      </w:r>
      <w:r>
        <w:rPr>
          <w:rFonts w:ascii="Times New Roman" w:cs="Arial Unicode MS" w:hAnsi="Arial Unicode MS" w:eastAsia="Arial Unicode MS"/>
          <w:rtl w:val="0"/>
          <w:lang w:val="it-IT"/>
        </w:rPr>
        <w:t xml:space="preserve"> </w:t>
      </w:r>
      <w:r>
        <w:rPr>
          <w:rFonts w:ascii="Times New Roman" w:cs="Arial Unicode MS" w:hAnsi="Arial Unicode MS" w:eastAsia="Arial Unicode MS"/>
          <w:rtl w:val="0"/>
          <w:lang w:val="it-IT"/>
        </w:rPr>
        <w:t>open abdomen, damage control, fascial closure</w:t>
      </w:r>
      <w:r>
        <w:rPr>
          <w:rFonts w:ascii="Times New Roman" w:cs="Arial Unicode MS" w:hAnsi="Arial Unicode MS" w:eastAsia="Arial Unicode MS"/>
          <w:rtl w:val="0"/>
          <w:lang w:val="it-IT"/>
        </w:rPr>
        <w:t>.</w:t>
      </w:r>
    </w:p>
    <w:p>
      <w:pPr>
        <w:pStyle w:val="Paragraph"/>
        <w:tabs>
          <w:tab w:val="left" w:pos="2520"/>
        </w:tabs>
        <w:ind w:firstLine="0"/>
        <w:jc w:val="both"/>
        <w:rPr>
          <w:b w:val="1"/>
          <w:bCs w:val="1"/>
          <w:sz w:val="24"/>
          <w:szCs w:val="24"/>
        </w:rPr>
      </w:pPr>
    </w:p>
    <w:p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Desired presentation  :</w:t>
        <w:tab/>
      </w:r>
      <w:r>
        <w:rPr>
          <w:sz w:val="22"/>
          <w:szCs w:val="22"/>
          <w:rtl w:val="0"/>
          <w:lang w:val="en-US"/>
        </w:rPr>
        <w:t xml:space="preserve">_ Oral </w:t>
        <w:tab/>
        <w:t xml:space="preserve">/ </w:t>
        <w:tab/>
        <w:t>_ Poster</w:t>
        <w:tab/>
        <w:t xml:space="preserve"> / </w:t>
        <w:tab/>
      </w:r>
      <w:r>
        <w:rPr>
          <w:sz w:val="22"/>
          <w:szCs w:val="22"/>
          <w:rtl w:val="0"/>
          <w:lang w:val="en-US"/>
        </w:rPr>
        <w:t>X</w:t>
      </w:r>
      <w:r>
        <w:rPr>
          <w:sz w:val="22"/>
          <w:szCs w:val="22"/>
          <w:rtl w:val="0"/>
          <w:lang w:val="en-US"/>
        </w:rPr>
        <w:t xml:space="preserve"> either</w:t>
      </w:r>
    </w:p>
    <w:p>
      <w:pPr>
        <w:pStyle w:val="Paragraph"/>
        <w:tabs>
          <w:tab w:val="left" w:pos="2520"/>
        </w:tabs>
        <w:ind w:firstLine="0"/>
        <w:jc w:val="both"/>
        <w:rPr>
          <w:sz w:val="6"/>
          <w:szCs w:val="6"/>
        </w:rPr>
      </w:pPr>
    </w:p>
    <w:p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Topic                         :</w:t>
        <w:tab/>
      </w:r>
      <w:r>
        <w:rPr>
          <w:sz w:val="22"/>
          <w:szCs w:val="22"/>
          <w:rtl w:val="0"/>
          <w:lang w:val="en-US"/>
        </w:rPr>
        <w:t>Wound Care Management and Therapies</w:t>
      </w:r>
    </w:p>
    <w:p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</w:p>
    <w:p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en-US"/>
        </w:rPr>
        <w:t>Corresponding Author Details:</w:t>
      </w:r>
      <w:r>
        <w:rPr>
          <w:sz w:val="22"/>
          <w:szCs w:val="22"/>
          <w:rtl w:val="0"/>
        </w:rPr>
        <w:tab/>
      </w:r>
      <w:r>
        <w:rPr>
          <w:rtl w:val="0"/>
          <w:lang w:val="en-US"/>
        </w:rPr>
        <w:t>Carlos Augusto Metidieri Menegozzo</w:t>
      </w:r>
    </w:p>
    <w:p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ab/>
        <w:t xml:space="preserve">                </w:t>
      </w:r>
      <w:r>
        <w:rPr>
          <w:sz w:val="22"/>
          <w:szCs w:val="22"/>
          <w:rtl w:val="0"/>
          <w:lang w:val="en-US"/>
        </w:rPr>
        <w:t>carlosmenegozzo@gmail.com</w:t>
      </w:r>
    </w:p>
    <w:p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  <w:lang w:val="en-US"/>
        </w:rPr>
      </w:pPr>
      <w:r>
        <w:rPr>
          <w:sz w:val="22"/>
          <w:szCs w:val="22"/>
          <w:rtl w:val="0"/>
        </w:rPr>
        <w:tab/>
        <w:t xml:space="preserve">                University</w:t>
      </w:r>
      <w:r>
        <w:rPr>
          <w:sz w:val="22"/>
          <w:szCs w:val="22"/>
          <w:rtl w:val="0"/>
          <w:lang w:val="en-US"/>
        </w:rPr>
        <w:t xml:space="preserve"> of S</w:t>
      </w:r>
      <w:r>
        <w:rPr>
          <w:sz w:val="22"/>
          <w:szCs w:val="22"/>
          <w:rtl w:val="0"/>
          <w:lang w:val="en-US"/>
        </w:rPr>
        <w:t>ã</w:t>
      </w:r>
      <w:r>
        <w:rPr>
          <w:sz w:val="22"/>
          <w:szCs w:val="22"/>
          <w:rtl w:val="0"/>
          <w:lang w:val="en-US"/>
        </w:rPr>
        <w:t>o Paulo</w:t>
      </w:r>
      <w:r>
        <w:rPr>
          <w:sz w:val="22"/>
          <w:szCs w:val="22"/>
          <w:rtl w:val="0"/>
          <w:lang w:val="en-US"/>
        </w:rPr>
        <w:t xml:space="preserve"> </w:t>
      </w:r>
    </w:p>
    <w:p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ab/>
        <w:t xml:space="preserve">                </w:t>
      </w:r>
      <w:r>
        <w:rPr>
          <w:sz w:val="22"/>
          <w:szCs w:val="22"/>
          <w:rtl w:val="0"/>
          <w:lang w:val="en-US"/>
        </w:rPr>
        <w:t>S</w:t>
      </w:r>
      <w:r>
        <w:rPr>
          <w:sz w:val="22"/>
          <w:szCs w:val="22"/>
          <w:rtl w:val="0"/>
          <w:lang w:val="en-US"/>
        </w:rPr>
        <w:t>ã</w:t>
      </w:r>
      <w:r>
        <w:rPr>
          <w:sz w:val="22"/>
          <w:szCs w:val="22"/>
          <w:rtl w:val="0"/>
          <w:lang w:val="en-US"/>
        </w:rPr>
        <w:t>o Paulo, S</w:t>
      </w:r>
      <w:r>
        <w:rPr>
          <w:sz w:val="22"/>
          <w:szCs w:val="22"/>
          <w:rtl w:val="0"/>
          <w:lang w:val="en-US"/>
        </w:rPr>
        <w:t>ã</w:t>
      </w:r>
      <w:r>
        <w:rPr>
          <w:sz w:val="22"/>
          <w:szCs w:val="22"/>
          <w:rtl w:val="0"/>
          <w:lang w:val="en-US"/>
        </w:rPr>
        <w:t>o Paulo, Brazil</w:t>
      </w:r>
    </w:p>
    <w:p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ab/>
        <w:t xml:space="preserve">               55 11 2661-8180 / 2661-6453 / 2661-6328</w:t>
      </w:r>
    </w:p>
    <w:p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</w:p>
    <w:p>
      <w:pPr>
        <w:pStyle w:val="Normal"/>
        <w:jc w:val="both"/>
      </w:pPr>
      <w:r>
        <w:rPr>
          <w:b w:val="1"/>
          <w:bCs w:val="1"/>
          <w:color w:val="000000"/>
          <w:u w:color="000000"/>
        </w:rPr>
      </w:r>
    </w:p>
    <w:sectPr>
      <w:headerReference w:type="default" r:id="rId4"/>
      <w:headerReference w:type="even" r:id="rId5"/>
      <w:footerReference w:type="default" r:id="rId6"/>
      <w:footerReference w:type="even" r:id="rId7"/>
      <w:pgSz w:w="11900" w:h="16840" w:orient="portrait"/>
      <w:pgMar w:top="851" w:right="1134" w:bottom="1134" w:left="1134" w:header="270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"/>
      <w:tabs>
        <w:tab w:val="right" w:pos="9612"/>
        <w:tab w:val="clear" w:pos="9638"/>
      </w:tabs>
      <w:spacing w:line="276" w:lineRule="auto"/>
      <w:jc w:val="center"/>
      <w:rPr>
        <w:sz w:val="22"/>
        <w:szCs w:val="22"/>
        <w:lang w:val="en-US"/>
      </w:rPr>
    </w:pPr>
    <w:r>
      <w:rPr>
        <w:sz w:val="22"/>
        <w:szCs w:val="22"/>
        <w:rtl w:val="0"/>
        <w:lang w:val="en-US"/>
      </w:rPr>
      <w:t>Global Wound Care Congress</w:t>
    </w:r>
  </w:p>
  <w:p>
    <w:pPr>
      <w:pStyle w:val="Header"/>
      <w:tabs>
        <w:tab w:val="right" w:pos="9612"/>
        <w:tab w:val="clear" w:pos="9638"/>
      </w:tabs>
      <w:spacing w:line="276" w:lineRule="auto"/>
      <w:jc w:val="center"/>
    </w:pPr>
    <w:r>
      <w:rPr>
        <w:sz w:val="22"/>
        <w:szCs w:val="22"/>
        <w:rtl w:val="0"/>
        <w:lang w:val="en-US"/>
      </w:rPr>
      <w:t>September 12-13, 2016 San Antonio, USA</w: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1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Paragraph">
    <w:name w:val="Paragraph"/>
    <w:next w:val="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36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