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FC201" w14:textId="7A5ADB19" w:rsidR="002C0F2B" w:rsidRDefault="002C0F2B" w:rsidP="001F414A">
      <w:pPr>
        <w:jc w:val="both"/>
        <w:rPr>
          <w:sz w:val="22"/>
          <w:szCs w:val="22"/>
          <w:lang w:val="en-GB"/>
        </w:rPr>
      </w:pPr>
      <w:r>
        <w:rPr>
          <w:sz w:val="22"/>
          <w:szCs w:val="22"/>
          <w:lang w:val="en-GB"/>
        </w:rPr>
        <w:t xml:space="preserve">                                                                                                       </w:t>
      </w:r>
      <w:r w:rsidR="00352487">
        <w:rPr>
          <w:noProof/>
          <w:sz w:val="22"/>
          <w:szCs w:val="22"/>
          <w:lang w:val="en-GB"/>
        </w:rPr>
        <w:drawing>
          <wp:inline distT="0" distB="0" distL="0" distR="0" wp14:anchorId="69B5B64B" wp14:editId="7B1F49B0">
            <wp:extent cx="1733158" cy="1600200"/>
            <wp:effectExtent l="0" t="0" r="0" b="0"/>
            <wp:docPr id="2" name="Picture 2" descr="A picture containing wall,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person, person, indoor&#10;&#10;Description automatically generated"/>
                    <pic:cNvPicPr/>
                  </pic:nvPicPr>
                  <pic:blipFill rotWithShape="1">
                    <a:blip r:embed="rId8" cstate="print">
                      <a:extLst>
                        <a:ext uri="{28A0092B-C50C-407E-A947-70E740481C1C}">
                          <a14:useLocalDpi xmlns:a14="http://schemas.microsoft.com/office/drawing/2010/main" val="0"/>
                        </a:ext>
                      </a:extLst>
                    </a:blip>
                    <a:srcRect l="6847" r="9093" b="41793"/>
                    <a:stretch/>
                  </pic:blipFill>
                  <pic:spPr bwMode="auto">
                    <a:xfrm>
                      <a:off x="0" y="0"/>
                      <a:ext cx="1806577" cy="1667987"/>
                    </a:xfrm>
                    <a:prstGeom prst="rect">
                      <a:avLst/>
                    </a:prstGeom>
                    <a:ln>
                      <a:noFill/>
                    </a:ln>
                    <a:extLst>
                      <a:ext uri="{53640926-AAD7-44D8-BBD7-CCE9431645EC}">
                        <a14:shadowObscured xmlns:a14="http://schemas.microsoft.com/office/drawing/2010/main"/>
                      </a:ext>
                    </a:extLst>
                  </pic:spPr>
                </pic:pic>
              </a:graphicData>
            </a:graphic>
          </wp:inline>
        </w:drawing>
      </w:r>
      <w:r>
        <w:rPr>
          <w:sz w:val="22"/>
          <w:szCs w:val="22"/>
          <w:lang w:val="en-GB"/>
        </w:rPr>
        <w:t xml:space="preserve">                </w:t>
      </w:r>
    </w:p>
    <w:p w14:paraId="57568D3A" w14:textId="77777777" w:rsidR="005769BD" w:rsidRPr="005769BD" w:rsidRDefault="00AC3BCD" w:rsidP="005769BD">
      <w:pPr>
        <w:spacing w:after="120"/>
        <w:jc w:val="both"/>
        <w:rPr>
          <w:b/>
          <w:bCs/>
          <w:sz w:val="28"/>
          <w:szCs w:val="28"/>
          <w:lang w:val="en-US"/>
        </w:rPr>
      </w:pPr>
      <w:r w:rsidRPr="005769BD">
        <w:rPr>
          <w:rFonts w:eastAsia="MS PGothic"/>
          <w:b/>
          <w:color w:val="000000"/>
          <w:sz w:val="28"/>
          <w:szCs w:val="28"/>
        </w:rPr>
        <w:t xml:space="preserve">Title: </w:t>
      </w:r>
      <w:r w:rsidR="005769BD" w:rsidRPr="005769BD">
        <w:rPr>
          <w:b/>
          <w:sz w:val="28"/>
          <w:szCs w:val="28"/>
          <w:lang w:val="en-US"/>
        </w:rPr>
        <w:t>Evaluation of unmodifiable and potentially modifiable factors affecting peripheral intravenous device related complications in neonates: a retrospective observational study</w:t>
      </w:r>
      <w:r w:rsidR="005769BD" w:rsidRPr="005769BD">
        <w:rPr>
          <w:b/>
          <w:bCs/>
          <w:sz w:val="28"/>
          <w:szCs w:val="28"/>
          <w:lang w:val="en-US"/>
        </w:rPr>
        <w:t xml:space="preserve"> </w:t>
      </w:r>
    </w:p>
    <w:p w14:paraId="2262503F" w14:textId="2E74BC1E" w:rsidR="00AC3BCD" w:rsidRPr="005769BD" w:rsidRDefault="00AC3BCD" w:rsidP="00AC3BCD">
      <w:pPr>
        <w:rPr>
          <w:rFonts w:eastAsia="MS PGothic"/>
          <w:b/>
          <w:color w:val="000000"/>
          <w:sz w:val="28"/>
          <w:szCs w:val="28"/>
          <w:lang w:val="en-US"/>
        </w:rPr>
      </w:pPr>
    </w:p>
    <w:p w14:paraId="30AD36FC" w14:textId="4CA62881" w:rsidR="00AC3BCD" w:rsidRDefault="00AC3BCD" w:rsidP="00AC3BCD">
      <w:pPr>
        <w:rPr>
          <w:rFonts w:eastAsia="MS PGothic" w:hAnsi="Arial"/>
          <w:color w:val="000000"/>
        </w:rPr>
      </w:pPr>
      <w:r>
        <w:rPr>
          <w:rFonts w:eastAsia="MS PGothic" w:hAnsi="Arial"/>
          <w:color w:val="000000"/>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w:t>
      </w:r>
      <w:r w:rsidR="00352487" w:rsidRPr="00352487">
        <w:rPr>
          <w:color w:val="000000" w:themeColor="text1"/>
          <w:lang w:val="en-US"/>
        </w:rPr>
        <w:t>Roland (Matheus) van Rens</w:t>
      </w:r>
    </w:p>
    <w:p w14:paraId="5AEC4414" w14:textId="77777777" w:rsidR="005769BD" w:rsidRDefault="00352487" w:rsidP="005769BD">
      <w:pPr>
        <w:jc w:val="center"/>
        <w:rPr>
          <w:rFonts w:eastAsia="MS PGothic" w:hAnsi="Arial"/>
          <w:color w:val="000000"/>
          <w:lang w:val="en-US"/>
        </w:rPr>
      </w:pPr>
      <w:r w:rsidRPr="00352487">
        <w:rPr>
          <w:color w:val="000000" w:themeColor="text1"/>
          <w:lang w:val="en-US"/>
        </w:rPr>
        <w:t>Hamad Medical Corporation</w:t>
      </w:r>
      <w:r>
        <w:rPr>
          <w:color w:val="000000" w:themeColor="text1"/>
          <w:lang w:val="en-US"/>
        </w:rPr>
        <w:t>, Doha, Qatar</w:t>
      </w:r>
    </w:p>
    <w:p w14:paraId="56EC3FEC" w14:textId="77777777" w:rsidR="005769BD" w:rsidRPr="005769BD" w:rsidRDefault="005769BD" w:rsidP="005769BD">
      <w:pPr>
        <w:jc w:val="center"/>
        <w:rPr>
          <w:rFonts w:eastAsia="MS PGothic"/>
          <w:color w:val="000000"/>
          <w:lang w:val="en-US"/>
        </w:rPr>
      </w:pPr>
    </w:p>
    <w:p w14:paraId="20C3808C" w14:textId="34FC87A3" w:rsidR="005769BD" w:rsidRPr="005769BD" w:rsidRDefault="005769BD" w:rsidP="005769BD">
      <w:pPr>
        <w:rPr>
          <w:rFonts w:eastAsia="MS PGothic"/>
          <w:color w:val="000000"/>
        </w:rPr>
      </w:pPr>
      <w:r w:rsidRPr="005769BD">
        <w:rPr>
          <w:b/>
          <w:bCs/>
          <w:lang w:val="en-US"/>
        </w:rPr>
        <w:t xml:space="preserve">Objectives: </w:t>
      </w:r>
      <w:r w:rsidRPr="005769BD">
        <w:rPr>
          <w:lang w:val="en-US"/>
        </w:rPr>
        <w:t xml:space="preserve">Infants in neonatal units benefit from dependable peripheral intravenous access. However, peripheral intravenous access exposes infants to high rates of clinically minor and serious complications. Despite this, little is known about the interplay of risk factors. The aim of this study was to assess the incidence and evaluate the interactions of risk factors on the occurrence of peripheral intravenous complications in a neonatal population. </w:t>
      </w:r>
      <w:r w:rsidRPr="005769BD">
        <w:rPr>
          <w:b/>
          <w:bCs/>
          <w:lang w:val="en-US"/>
        </w:rPr>
        <w:t xml:space="preserve">Design: </w:t>
      </w:r>
      <w:r w:rsidRPr="005769BD">
        <w:rPr>
          <w:lang w:val="en-US"/>
        </w:rPr>
        <w:t xml:space="preserve">This was a retrospective observational study. </w:t>
      </w:r>
      <w:r w:rsidRPr="005769BD">
        <w:rPr>
          <w:b/>
          <w:lang w:val="en-US"/>
        </w:rPr>
        <w:t xml:space="preserve">Setting: </w:t>
      </w:r>
      <w:r w:rsidRPr="005769BD">
        <w:rPr>
          <w:lang w:val="en-US"/>
        </w:rPr>
        <w:t xml:space="preserve">The study was performed on the </w:t>
      </w:r>
      <w:r w:rsidRPr="005769BD">
        <w:rPr>
          <w:color w:val="000000" w:themeColor="text1"/>
          <w:lang w:val="en-US"/>
        </w:rPr>
        <w:t xml:space="preserve">Neonatal Intensive Care Unit (NICU) of the </w:t>
      </w:r>
      <w:r w:rsidRPr="005769BD">
        <w:rPr>
          <w:iCs/>
          <w:color w:val="000000" w:themeColor="text1"/>
          <w:lang w:val="en-US"/>
        </w:rPr>
        <w:t>Women’s Wellness and Research Centre, Hamad Medical Corporation, Qatar as a single site study</w:t>
      </w:r>
      <w:r w:rsidRPr="005769BD">
        <w:rPr>
          <w:color w:val="000000" w:themeColor="text1"/>
          <w:lang w:val="en-US"/>
        </w:rPr>
        <w:t xml:space="preserve">. </w:t>
      </w:r>
      <w:r w:rsidRPr="005769BD">
        <w:rPr>
          <w:b/>
          <w:color w:val="000000" w:themeColor="text1"/>
          <w:lang w:val="en-US"/>
        </w:rPr>
        <w:t>Participants:</w:t>
      </w:r>
      <w:r w:rsidRPr="005769BD">
        <w:rPr>
          <w:color w:val="000000" w:themeColor="text1"/>
          <w:lang w:val="en-US"/>
        </w:rPr>
        <w:t xml:space="preserve"> This study included 12978 neonates who required intravenous therapy. </w:t>
      </w:r>
      <w:r w:rsidRPr="005769BD">
        <w:rPr>
          <w:b/>
          <w:color w:val="000000" w:themeColor="text1"/>
          <w:lang w:val="en-US"/>
        </w:rPr>
        <w:t xml:space="preserve">Outcome measurements: </w:t>
      </w:r>
      <w:r w:rsidRPr="005769BD">
        <w:rPr>
          <w:color w:val="000000" w:themeColor="text1"/>
          <w:lang w:val="en-US"/>
        </w:rPr>
        <w:t xml:space="preserve">The main outcome was the occurrence of any peripheral intravenous cannulation failure, leading to unplanned removal of the device before completion of the intended intravenous therapy. </w:t>
      </w:r>
      <w:r w:rsidRPr="005769BD">
        <w:rPr>
          <w:b/>
          <w:bCs/>
          <w:color w:val="000000" w:themeColor="text1"/>
          <w:lang w:val="en-US"/>
        </w:rPr>
        <w:t xml:space="preserve">Results: </w:t>
      </w:r>
      <w:r w:rsidRPr="005769BD">
        <w:rPr>
          <w:color w:val="000000" w:themeColor="text1"/>
          <w:lang w:val="en-US"/>
        </w:rPr>
        <w:t xml:space="preserve">A mean dwell time of 36 ±28 hours </w:t>
      </w:r>
      <w:proofErr w:type="gramStart"/>
      <w:r w:rsidRPr="005769BD">
        <w:rPr>
          <w:color w:val="000000" w:themeColor="text1"/>
          <w:lang w:val="en-US"/>
        </w:rPr>
        <w:t>was</w:t>
      </w:r>
      <w:proofErr w:type="gramEnd"/>
      <w:r w:rsidRPr="005769BD">
        <w:rPr>
          <w:color w:val="000000" w:themeColor="text1"/>
          <w:lang w:val="en-US"/>
        </w:rPr>
        <w:t xml:space="preserve"> recorded in participants with no complications, whereas the mean dwell time was 31 ±23 hours in participants with an indication for premature removal of the peripheral intravenous catheter (</w:t>
      </w:r>
      <w:r w:rsidRPr="005769BD">
        <w:rPr>
          <w:i/>
          <w:color w:val="000000" w:themeColor="text1"/>
          <w:lang w:val="en-US"/>
        </w:rPr>
        <w:t>P</w:t>
      </w:r>
      <w:r w:rsidRPr="005769BD">
        <w:rPr>
          <w:color w:val="000000" w:themeColor="text1"/>
          <w:lang w:val="en-US"/>
        </w:rPr>
        <w:t xml:space="preserve">&lt;0.001, </w:t>
      </w:r>
      <w:r w:rsidRPr="005769BD">
        <w:rPr>
          <w:i/>
          <w:color w:val="000000" w:themeColor="text1"/>
          <w:lang w:val="en-US"/>
        </w:rPr>
        <w:t>t</w:t>
      </w:r>
      <w:r w:rsidRPr="005769BD">
        <w:rPr>
          <w:color w:val="000000" w:themeColor="text1"/>
          <w:lang w:val="en-US"/>
        </w:rPr>
        <w:t xml:space="preserve">=11.35). Unplanned removal occurred in 59% of cases, the overall complication rate was 18 per 1000 catheter days. Unmodifiable factors affecting peripheral intravenous catheter dwell time include lower birth (odds ratio =0.23, 0.20 to 0.28, </w:t>
      </w:r>
      <w:r w:rsidRPr="005769BD">
        <w:rPr>
          <w:i/>
          <w:color w:val="000000" w:themeColor="text1"/>
          <w:lang w:val="en-US"/>
        </w:rPr>
        <w:t>P</w:t>
      </w:r>
      <w:r w:rsidRPr="005769BD">
        <w:rPr>
          <w:color w:val="000000" w:themeColor="text1"/>
          <w:lang w:val="en-US"/>
        </w:rPr>
        <w:t xml:space="preserve">&lt;0.001) and current body weight (odds ratio =1.06, 1.03 to 1.10, </w:t>
      </w:r>
      <w:r w:rsidRPr="005769BD">
        <w:rPr>
          <w:i/>
          <w:color w:val="000000" w:themeColor="text1"/>
          <w:lang w:val="en-US"/>
        </w:rPr>
        <w:t>P</w:t>
      </w:r>
      <w:r w:rsidRPr="005769BD">
        <w:rPr>
          <w:color w:val="000000" w:themeColor="text1"/>
          <w:lang w:val="en-US"/>
        </w:rPr>
        <w:t xml:space="preserve">=0.018). Cannulation site (odds ratio =1.23, 1.16 to 1.30, </w:t>
      </w:r>
      <w:r w:rsidRPr="005769BD">
        <w:rPr>
          <w:i/>
          <w:color w:val="000000" w:themeColor="text1"/>
          <w:lang w:val="en-US"/>
        </w:rPr>
        <w:t>P</w:t>
      </w:r>
      <w:r w:rsidRPr="005769BD">
        <w:rPr>
          <w:color w:val="000000" w:themeColor="text1"/>
          <w:lang w:val="en-US"/>
        </w:rPr>
        <w:t xml:space="preserve">&lt;0.001), the inserted device (odds ratio =0.89, 0.84 to 0.94, </w:t>
      </w:r>
      <w:r w:rsidRPr="005769BD">
        <w:rPr>
          <w:i/>
          <w:color w:val="000000" w:themeColor="text1"/>
          <w:lang w:val="en-US"/>
        </w:rPr>
        <w:t>P</w:t>
      </w:r>
      <w:r w:rsidRPr="005769BD">
        <w:rPr>
          <w:color w:val="000000" w:themeColor="text1"/>
          <w:lang w:val="en-US"/>
        </w:rPr>
        <w:t xml:space="preserve">&lt;0.001) and the indication for intravenous treatment (odds ratio =0.76, 0.73 to 0.79, </w:t>
      </w:r>
      <w:r w:rsidRPr="005769BD">
        <w:rPr>
          <w:i/>
          <w:color w:val="000000" w:themeColor="text1"/>
          <w:lang w:val="en-US"/>
        </w:rPr>
        <w:t>P</w:t>
      </w:r>
      <w:r w:rsidRPr="005769BD">
        <w:rPr>
          <w:color w:val="000000" w:themeColor="text1"/>
          <w:lang w:val="en-US"/>
        </w:rPr>
        <w:t xml:space="preserve">&lt;0.001) were modifiable factors. </w:t>
      </w:r>
      <w:r w:rsidRPr="005769BD">
        <w:rPr>
          <w:b/>
          <w:bCs/>
          <w:color w:val="000000" w:themeColor="text1"/>
          <w:lang w:val="en-US"/>
        </w:rPr>
        <w:t xml:space="preserve">Conclusions: </w:t>
      </w:r>
      <w:r w:rsidRPr="005769BD">
        <w:rPr>
          <w:color w:val="000000" w:themeColor="text1"/>
          <w:lang w:val="en-US"/>
        </w:rPr>
        <w:t>Most infants experienced a vascular access related complication. Given the high complication rate, peripheral intravenous catheters should be used judiciously, and thought given prior to their use as to whether alternate means of intravenous access might be more appropriate.</w:t>
      </w:r>
    </w:p>
    <w:p w14:paraId="67EAF9EC" w14:textId="77777777" w:rsidR="00AC3BCD" w:rsidRPr="005769BD" w:rsidRDefault="00AC3BCD" w:rsidP="00AC3BCD">
      <w:pPr>
        <w:jc w:val="both"/>
        <w:rPr>
          <w:color w:val="000000"/>
          <w:lang w:val="en-US"/>
        </w:rPr>
      </w:pPr>
    </w:p>
    <w:p w14:paraId="3C82C7FF" w14:textId="77777777" w:rsidR="00AC3BCD" w:rsidRPr="00352487" w:rsidRDefault="00AC3BCD" w:rsidP="00AC3BCD">
      <w:pPr>
        <w:jc w:val="both"/>
        <w:rPr>
          <w:b/>
        </w:rPr>
      </w:pPr>
      <w:proofErr w:type="spellStart"/>
      <w:r>
        <w:rPr>
          <w:b/>
        </w:rPr>
        <w:t>Biography</w:t>
      </w:r>
      <w:proofErr w:type="spellEnd"/>
    </w:p>
    <w:p w14:paraId="003F65BF" w14:textId="77777777" w:rsidR="00AC3BCD" w:rsidRPr="00352487" w:rsidRDefault="00AC3BCD" w:rsidP="00AC3BCD">
      <w:pPr>
        <w:jc w:val="both"/>
        <w:rPr>
          <w:b/>
        </w:rPr>
      </w:pPr>
    </w:p>
    <w:p w14:paraId="20DFB470" w14:textId="77777777" w:rsidR="00352487" w:rsidRPr="00352487" w:rsidRDefault="00352487" w:rsidP="00352487">
      <w:pPr>
        <w:autoSpaceDE w:val="0"/>
        <w:autoSpaceDN w:val="0"/>
        <w:adjustRightInd w:val="0"/>
        <w:rPr>
          <w:color w:val="000000" w:themeColor="text1"/>
          <w:lang w:val="en-US"/>
        </w:rPr>
      </w:pPr>
      <w:r w:rsidRPr="00352487">
        <w:rPr>
          <w:color w:val="000000" w:themeColor="text1"/>
          <w:lang w:val="en-US"/>
        </w:rPr>
        <w:t xml:space="preserve">Roland (Matheus) van Rens is the clinical Director of Nursing of the neonatal intensive care unit (NICU) at Women’s Wellness and Research Center. He works within a neonatal setting since 1991 and joined Hamad Medical Corporation back in 2013. </w:t>
      </w:r>
    </w:p>
    <w:p w14:paraId="4119F9A4" w14:textId="77777777" w:rsidR="00352487" w:rsidRPr="00352487" w:rsidRDefault="00352487" w:rsidP="00352487">
      <w:pPr>
        <w:autoSpaceDE w:val="0"/>
        <w:autoSpaceDN w:val="0"/>
        <w:adjustRightInd w:val="0"/>
        <w:rPr>
          <w:color w:val="000000" w:themeColor="text1"/>
          <w:lang w:val="en-US"/>
        </w:rPr>
      </w:pPr>
    </w:p>
    <w:p w14:paraId="147F32AE" w14:textId="3118787E" w:rsidR="00352487" w:rsidRPr="00352487" w:rsidRDefault="00352487" w:rsidP="00352487">
      <w:pPr>
        <w:rPr>
          <w:color w:val="000000" w:themeColor="text1"/>
          <w:lang w:val="en-US"/>
        </w:rPr>
      </w:pPr>
      <w:r w:rsidRPr="00352487">
        <w:rPr>
          <w:color w:val="000000" w:themeColor="text1"/>
          <w:lang w:val="en-US"/>
        </w:rPr>
        <w:t>In 2005</w:t>
      </w:r>
      <w:r w:rsidRPr="00352487">
        <w:rPr>
          <w:color w:val="000000" w:themeColor="text1"/>
          <w:lang w:val="en-US"/>
        </w:rPr>
        <w:t xml:space="preserve"> </w:t>
      </w:r>
      <w:r w:rsidRPr="00352487">
        <w:rPr>
          <w:color w:val="000000" w:themeColor="text1"/>
          <w:lang w:val="en-US"/>
        </w:rPr>
        <w:t xml:space="preserve">he graduated as a Master of arts in Advanced Nursing Practice (Ma ANP) </w:t>
      </w:r>
      <w:r w:rsidRPr="00352487">
        <w:rPr>
          <w:color w:val="000000" w:themeColor="text1"/>
          <w:lang w:val="en-US"/>
        </w:rPr>
        <w:t xml:space="preserve">and </w:t>
      </w:r>
      <w:r w:rsidRPr="00352487">
        <w:rPr>
          <w:color w:val="000000" w:themeColor="text1"/>
          <w:lang w:val="en-US"/>
        </w:rPr>
        <w:t xml:space="preserve">worked for 8 years as a neonatal nurse practitioner at the Erasmus University in the Netherlands. </w:t>
      </w:r>
    </w:p>
    <w:p w14:paraId="12D33BF0" w14:textId="77777777" w:rsidR="00352487" w:rsidRPr="00352487" w:rsidRDefault="00352487" w:rsidP="00352487">
      <w:pPr>
        <w:rPr>
          <w:color w:val="545454"/>
          <w:shd w:val="clear" w:color="auto" w:fill="FFFFFF"/>
          <w:lang w:val="en-US" w:eastAsia="en-GB"/>
        </w:rPr>
      </w:pPr>
    </w:p>
    <w:p w14:paraId="6EC7F15C" w14:textId="5115E445" w:rsidR="00352487" w:rsidRPr="00352487" w:rsidRDefault="00352487" w:rsidP="00352487">
      <w:pPr>
        <w:rPr>
          <w:lang w:val="en-US" w:eastAsia="en-GB"/>
        </w:rPr>
      </w:pPr>
      <w:r w:rsidRPr="00352487">
        <w:rPr>
          <w:lang w:val="en-US" w:eastAsia="en-GB"/>
        </w:rPr>
        <w:t>Within the NICU he developed and manages a dedicated vascular access team</w:t>
      </w:r>
      <w:r w:rsidRPr="00352487">
        <w:rPr>
          <w:lang w:val="en-US" w:eastAsia="en-GB"/>
        </w:rPr>
        <w:t xml:space="preserve">. </w:t>
      </w:r>
      <w:proofErr w:type="gramStart"/>
      <w:r w:rsidRPr="00352487">
        <w:rPr>
          <w:lang w:val="en-US" w:eastAsia="en-GB"/>
        </w:rPr>
        <w:t>Currently</w:t>
      </w:r>
      <w:proofErr w:type="gramEnd"/>
      <w:r w:rsidRPr="00352487">
        <w:rPr>
          <w:lang w:val="en-US" w:eastAsia="en-GB"/>
        </w:rPr>
        <w:t xml:space="preserve"> he is the primary investigator in several vascular access related studies. </w:t>
      </w:r>
      <w:r w:rsidRPr="00352487">
        <w:rPr>
          <w:color w:val="353535"/>
        </w:rPr>
        <w:t> </w:t>
      </w:r>
    </w:p>
    <w:p w14:paraId="1B2EF747" w14:textId="1E5239CC" w:rsidR="00AC3BCD" w:rsidRPr="00A41107" w:rsidRDefault="00085B88" w:rsidP="00AC3BCD">
      <w:pPr>
        <w:jc w:val="both"/>
        <w:rPr>
          <w:rFonts w:eastAsia="MS PGothic"/>
          <w:b/>
          <w:color w:val="000000"/>
          <w:szCs w:val="32"/>
        </w:rPr>
      </w:pPr>
      <w:r>
        <w:lastRenderedPageBreak/>
        <w:br/>
      </w:r>
    </w:p>
    <w:p w14:paraId="73D11CAF" w14:textId="1012734F"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1628A">
        <w:rPr>
          <w:lang w:val="en-NZ"/>
        </w:rPr>
        <w:t>Roland (Matheus) van Rens</w:t>
      </w:r>
      <w:r w:rsidRPr="008A690F">
        <w:rPr>
          <w:lang w:val="en-NZ"/>
        </w:rPr>
        <w:br/>
        <w:t>Contact number:</w:t>
      </w:r>
      <w:r w:rsidR="0061628A">
        <w:rPr>
          <w:lang w:val="en-NZ"/>
        </w:rPr>
        <w:t xml:space="preserve"> +34 677 150 923</w:t>
      </w:r>
      <w:r w:rsidRPr="008A690F">
        <w:rPr>
          <w:lang w:val="en-NZ"/>
        </w:rPr>
        <w:br/>
        <w:t>Twitter account:</w:t>
      </w:r>
      <w:r w:rsidR="0061628A">
        <w:rPr>
          <w:lang w:val="en-NZ"/>
        </w:rPr>
        <w:t xml:space="preserve"> </w:t>
      </w:r>
      <w:r w:rsidRPr="008A690F">
        <w:rPr>
          <w:lang w:val="en-NZ"/>
        </w:rPr>
        <w:br/>
        <w:t>Linked In account:</w:t>
      </w:r>
      <w:r w:rsidR="0061628A">
        <w:rPr>
          <w:lang w:val="en-NZ"/>
        </w:rPr>
        <w:t xml:space="preserve"> </w:t>
      </w:r>
      <w:r w:rsidR="0061628A" w:rsidRPr="0061628A">
        <w:rPr>
          <w:lang w:val="en-NZ"/>
        </w:rPr>
        <w:t>https://www.linkedin.com/in/roland-vanrens-01571814a/</w:t>
      </w:r>
    </w:p>
    <w:p w14:paraId="38464F26" w14:textId="4FC8DE62" w:rsidR="00AC3BCD" w:rsidRDefault="00AC3BCD" w:rsidP="00FF1484">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9AFD6" w14:textId="77777777" w:rsidR="0081676B" w:rsidRDefault="0081676B" w:rsidP="00671A59">
      <w:r>
        <w:separator/>
      </w:r>
    </w:p>
  </w:endnote>
  <w:endnote w:type="continuationSeparator" w:id="0">
    <w:p w14:paraId="07C6E6A2" w14:textId="77777777" w:rsidR="0081676B" w:rsidRDefault="0081676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DF8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D58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3BEE"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E9FE1" w14:textId="77777777" w:rsidR="0081676B" w:rsidRDefault="0081676B" w:rsidP="00671A59">
      <w:r>
        <w:separator/>
      </w:r>
    </w:p>
  </w:footnote>
  <w:footnote w:type="continuationSeparator" w:id="0">
    <w:p w14:paraId="36590F56" w14:textId="77777777" w:rsidR="0081676B" w:rsidRDefault="0081676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C94E"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1375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F0514"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52487"/>
    <w:rsid w:val="003753DD"/>
    <w:rsid w:val="003A4429"/>
    <w:rsid w:val="004775E3"/>
    <w:rsid w:val="0049217F"/>
    <w:rsid w:val="00495EC9"/>
    <w:rsid w:val="004A262E"/>
    <w:rsid w:val="004A2CA1"/>
    <w:rsid w:val="004B3B30"/>
    <w:rsid w:val="00505DA1"/>
    <w:rsid w:val="005408D9"/>
    <w:rsid w:val="00555DAD"/>
    <w:rsid w:val="005769BD"/>
    <w:rsid w:val="005B168A"/>
    <w:rsid w:val="005C2EA1"/>
    <w:rsid w:val="005C3848"/>
    <w:rsid w:val="005D43ED"/>
    <w:rsid w:val="00605142"/>
    <w:rsid w:val="00612C13"/>
    <w:rsid w:val="0061628A"/>
    <w:rsid w:val="006511AA"/>
    <w:rsid w:val="00671A59"/>
    <w:rsid w:val="00691F82"/>
    <w:rsid w:val="006B463C"/>
    <w:rsid w:val="006C51B8"/>
    <w:rsid w:val="006F0C5C"/>
    <w:rsid w:val="007258AA"/>
    <w:rsid w:val="00743CCA"/>
    <w:rsid w:val="00746319"/>
    <w:rsid w:val="007875D1"/>
    <w:rsid w:val="00790C29"/>
    <w:rsid w:val="007F0333"/>
    <w:rsid w:val="00800D58"/>
    <w:rsid w:val="0081676B"/>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72B52"/>
    <w:rsid w:val="00F90AE2"/>
    <w:rsid w:val="00FA5CBE"/>
    <w:rsid w:val="00FB641C"/>
    <w:rsid w:val="00FC1073"/>
    <w:rsid w:val="00FF1484"/>
    <w:rsid w:val="00FF16A7"/>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6CF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B073E-9C97-4B5E-8495-DAE772AB6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2830</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2022-02-18T20:06:00Z</dcterms:created>
  <dcterms:modified xsi:type="dcterms:W3CDTF">2022-02-18T20:06:00Z</dcterms:modified>
</cp:coreProperties>
</file>