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FC201" w14:textId="7A5ADB19" w:rsidR="002C0F2B" w:rsidRDefault="002C0F2B" w:rsidP="001F414A">
      <w:pPr>
        <w:jc w:val="both"/>
        <w:rPr>
          <w:sz w:val="22"/>
          <w:szCs w:val="22"/>
          <w:lang w:val="en-GB"/>
        </w:rPr>
      </w:pPr>
      <w:r>
        <w:rPr>
          <w:sz w:val="22"/>
          <w:szCs w:val="22"/>
          <w:lang w:val="en-GB"/>
        </w:rPr>
        <w:t xml:space="preserve">                                                                                                       </w:t>
      </w:r>
      <w:r w:rsidR="00352487">
        <w:rPr>
          <w:noProof/>
          <w:sz w:val="22"/>
          <w:szCs w:val="22"/>
          <w:lang w:val="en-GB"/>
        </w:rPr>
        <w:drawing>
          <wp:inline distT="0" distB="0" distL="0" distR="0" wp14:anchorId="69B5B64B" wp14:editId="7B1F49B0">
            <wp:extent cx="1733158" cy="1600200"/>
            <wp:effectExtent l="0" t="0" r="0" b="0"/>
            <wp:docPr id="2" name="Picture 2" descr="A picture containing wall,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person, person, indoor&#10;&#10;Description automatically generated"/>
                    <pic:cNvPicPr/>
                  </pic:nvPicPr>
                  <pic:blipFill rotWithShape="1">
                    <a:blip r:embed="rId8" cstate="print">
                      <a:extLst>
                        <a:ext uri="{28A0092B-C50C-407E-A947-70E740481C1C}">
                          <a14:useLocalDpi xmlns:a14="http://schemas.microsoft.com/office/drawing/2010/main" val="0"/>
                        </a:ext>
                      </a:extLst>
                    </a:blip>
                    <a:srcRect l="6847" r="9093" b="41793"/>
                    <a:stretch/>
                  </pic:blipFill>
                  <pic:spPr bwMode="auto">
                    <a:xfrm>
                      <a:off x="0" y="0"/>
                      <a:ext cx="1806577" cy="1667987"/>
                    </a:xfrm>
                    <a:prstGeom prst="rect">
                      <a:avLst/>
                    </a:prstGeom>
                    <a:ln>
                      <a:noFill/>
                    </a:ln>
                    <a:extLst>
                      <a:ext uri="{53640926-AAD7-44D8-BBD7-CCE9431645EC}">
                        <a14:shadowObscured xmlns:a14="http://schemas.microsoft.com/office/drawing/2010/main"/>
                      </a:ext>
                    </a:extLst>
                  </pic:spPr>
                </pic:pic>
              </a:graphicData>
            </a:graphic>
          </wp:inline>
        </w:drawing>
      </w:r>
      <w:r>
        <w:rPr>
          <w:sz w:val="22"/>
          <w:szCs w:val="22"/>
          <w:lang w:val="en-GB"/>
        </w:rPr>
        <w:t xml:space="preserve">                </w:t>
      </w:r>
    </w:p>
    <w:p w14:paraId="25F94C16" w14:textId="77777777" w:rsidR="006E3444" w:rsidRPr="006E3444" w:rsidRDefault="00AC3BCD" w:rsidP="006E3444">
      <w:pPr>
        <w:spacing w:after="120"/>
        <w:rPr>
          <w:b/>
          <w:bCs/>
          <w:sz w:val="28"/>
          <w:szCs w:val="28"/>
          <w:shd w:val="clear" w:color="auto" w:fill="FFFFFF"/>
          <w:lang w:val="en-US"/>
        </w:rPr>
      </w:pPr>
      <w:r w:rsidRPr="006E3444">
        <w:rPr>
          <w:rFonts w:eastAsia="MS PGothic"/>
          <w:b/>
          <w:color w:val="000000"/>
          <w:sz w:val="28"/>
          <w:szCs w:val="28"/>
        </w:rPr>
        <w:t xml:space="preserve">Title: </w:t>
      </w:r>
      <w:r w:rsidR="006E3444" w:rsidRPr="006E3444">
        <w:rPr>
          <w:b/>
          <w:bCs/>
          <w:sz w:val="28"/>
          <w:szCs w:val="28"/>
          <w:lang w:val="en-US"/>
        </w:rPr>
        <w:t xml:space="preserve">Effect of peripheral intravenous catheter type and material on therapy failure </w:t>
      </w:r>
      <w:proofErr w:type="gramStart"/>
      <w:r w:rsidR="006E3444" w:rsidRPr="006E3444">
        <w:rPr>
          <w:b/>
          <w:bCs/>
          <w:sz w:val="28"/>
          <w:szCs w:val="28"/>
          <w:lang w:val="en-US"/>
        </w:rPr>
        <w:t>in a</w:t>
      </w:r>
      <w:proofErr w:type="gramEnd"/>
      <w:r w:rsidR="006E3444" w:rsidRPr="006E3444">
        <w:rPr>
          <w:b/>
          <w:bCs/>
          <w:sz w:val="28"/>
          <w:szCs w:val="28"/>
          <w:lang w:val="en-US"/>
        </w:rPr>
        <w:t xml:space="preserve"> Neonatal Population</w:t>
      </w:r>
    </w:p>
    <w:p w14:paraId="2262503F" w14:textId="67E8AF8C" w:rsidR="00AC3BCD" w:rsidRPr="006E3444" w:rsidRDefault="00AC3BCD" w:rsidP="006E3444">
      <w:pPr>
        <w:rPr>
          <w:rFonts w:eastAsia="MS PGothic"/>
          <w:b/>
          <w:color w:val="000000"/>
          <w:sz w:val="28"/>
          <w:szCs w:val="28"/>
          <w:lang w:val="en-US"/>
        </w:rPr>
      </w:pPr>
    </w:p>
    <w:p w14:paraId="30AD36FC" w14:textId="4CA62881" w:rsidR="00AC3BCD" w:rsidRDefault="00AC3BCD" w:rsidP="006E3444">
      <w:pPr>
        <w:rPr>
          <w:rFonts w:eastAsia="MS PGothic" w:hAnsi="Arial"/>
          <w:color w:val="000000"/>
        </w:rPr>
      </w:pPr>
      <w:r w:rsidRPr="006E3444">
        <w:rPr>
          <w:rFonts w:eastAsia="MS PGothic" w:hAnsi="Arial"/>
          <w:color w:val="000000"/>
          <w:sz w:val="28"/>
          <w:szCs w:val="28"/>
        </w:rPr>
        <w:br/>
      </w:r>
      <w:r>
        <w:rPr>
          <w:b/>
          <w:sz w:val="28"/>
          <w:szCs w:val="28"/>
        </w:rPr>
        <w:t xml:space="preserve">                                            </w:t>
      </w:r>
      <w:proofErr w:type="spellStart"/>
      <w:r>
        <w:rPr>
          <w:rFonts w:eastAsia="MS PGothic" w:hAnsi="Arial"/>
          <w:color w:val="000000"/>
        </w:rPr>
        <w:t>Name</w:t>
      </w:r>
      <w:proofErr w:type="spellEnd"/>
      <w:r>
        <w:rPr>
          <w:rFonts w:eastAsia="MS PGothic" w:hAnsi="Arial"/>
          <w:color w:val="000000"/>
        </w:rPr>
        <w:t xml:space="preserve">: </w:t>
      </w:r>
      <w:r w:rsidR="00352487" w:rsidRPr="00352487">
        <w:rPr>
          <w:color w:val="000000" w:themeColor="text1"/>
          <w:lang w:val="en-US"/>
        </w:rPr>
        <w:t>Roland (Matheus) van Rens</w:t>
      </w:r>
    </w:p>
    <w:p w14:paraId="002340EF" w14:textId="656A21EA" w:rsidR="00AC3BCD" w:rsidRDefault="00352487" w:rsidP="00352487">
      <w:pPr>
        <w:jc w:val="center"/>
        <w:rPr>
          <w:rFonts w:eastAsia="MS PGothic" w:hAnsi="Arial"/>
          <w:color w:val="000000"/>
        </w:rPr>
      </w:pPr>
      <w:r w:rsidRPr="00352487">
        <w:rPr>
          <w:color w:val="000000" w:themeColor="text1"/>
          <w:lang w:val="en-US"/>
        </w:rPr>
        <w:t>Hamad Medical Corporation</w:t>
      </w:r>
      <w:r>
        <w:rPr>
          <w:color w:val="000000" w:themeColor="text1"/>
          <w:lang w:val="en-US"/>
        </w:rPr>
        <w:t>, Doha, Qatar</w:t>
      </w:r>
    </w:p>
    <w:p w14:paraId="637ECD11" w14:textId="77777777" w:rsidR="00AC3BCD" w:rsidRDefault="00AC3BCD" w:rsidP="006E3444">
      <w:pPr>
        <w:jc w:val="center"/>
        <w:rPr>
          <w:rFonts w:eastAsia="Batang"/>
          <w:color w:val="0000FF"/>
          <w:sz w:val="36"/>
          <w:szCs w:val="36"/>
        </w:rPr>
      </w:pPr>
    </w:p>
    <w:p w14:paraId="11438DAF" w14:textId="77777777" w:rsidR="006E3444" w:rsidRPr="00D41378" w:rsidRDefault="006E3444" w:rsidP="006E3444">
      <w:pPr>
        <w:spacing w:after="120"/>
        <w:rPr>
          <w:lang w:val="en-US"/>
        </w:rPr>
      </w:pPr>
      <w:r w:rsidRPr="00D41378">
        <w:rPr>
          <w:b/>
          <w:bCs/>
          <w:lang w:val="en-US"/>
        </w:rPr>
        <w:t>Backg</w:t>
      </w:r>
      <w:r>
        <w:rPr>
          <w:b/>
          <w:bCs/>
          <w:lang w:val="en-US"/>
        </w:rPr>
        <w:t>r</w:t>
      </w:r>
      <w:r w:rsidRPr="00D41378">
        <w:rPr>
          <w:b/>
          <w:bCs/>
          <w:lang w:val="en-US"/>
        </w:rPr>
        <w:t>ound:</w:t>
      </w:r>
      <w:r w:rsidRPr="00D41378">
        <w:rPr>
          <w:lang w:val="en-US"/>
        </w:rPr>
        <w:t xml:space="preserve"> In neonatal settings vascular access devices are essential for treatment. However, their use is not without risks. The design and materials of peripheral vascular access devices have been evaluated amongst adult populations, but contemporary studies in neonatal settings are scant.</w:t>
      </w:r>
    </w:p>
    <w:p w14:paraId="679F24B3" w14:textId="77777777" w:rsidR="006E3444" w:rsidRPr="00D41378" w:rsidRDefault="006E3444" w:rsidP="006E3444">
      <w:pPr>
        <w:spacing w:after="120"/>
        <w:rPr>
          <w:b/>
          <w:bCs/>
          <w:lang w:val="en-US"/>
        </w:rPr>
      </w:pPr>
      <w:r w:rsidRPr="00D41378">
        <w:rPr>
          <w:b/>
          <w:bCs/>
          <w:lang w:val="en-US"/>
        </w:rPr>
        <w:t xml:space="preserve">Purpose / Outcome measures </w:t>
      </w:r>
      <w:r w:rsidRPr="00D41378">
        <w:rPr>
          <w:lang w:val="en-US"/>
        </w:rPr>
        <w:t>This research describes the prevalence of peripheral intra-venous catheter failure related to three different catheter types with the intent to identify modifiable risks that might be used to evaluate device efficacy, innovate neonatal practice</w:t>
      </w:r>
      <w:r>
        <w:rPr>
          <w:lang w:val="en-US"/>
        </w:rPr>
        <w:t>,</w:t>
      </w:r>
      <w:r w:rsidRPr="00D41378">
        <w:rPr>
          <w:lang w:val="en-US"/>
        </w:rPr>
        <w:t xml:space="preserve"> and support future policy developments.</w:t>
      </w:r>
    </w:p>
    <w:p w14:paraId="5F4FD4B9" w14:textId="77777777" w:rsidR="006E3444" w:rsidRPr="00D41378" w:rsidRDefault="006E3444" w:rsidP="006E3444">
      <w:pPr>
        <w:spacing w:after="120"/>
        <w:rPr>
          <w:lang w:val="en-US"/>
        </w:rPr>
      </w:pPr>
      <w:r w:rsidRPr="00D41378">
        <w:rPr>
          <w:b/>
          <w:bCs/>
          <w:shd w:val="clear" w:color="auto" w:fill="FFFFFF"/>
          <w:lang w:val="en-US"/>
        </w:rPr>
        <w:t>Method and Setting:</w:t>
      </w:r>
      <w:r w:rsidRPr="00D41378">
        <w:rPr>
          <w:shd w:val="clear" w:color="auto" w:fill="FFFFFF"/>
          <w:lang w:val="en-US"/>
        </w:rPr>
        <w:t xml:space="preserve"> This was a retrospective observational analysis of routinely collected anonymized intravenous therapy related data. </w:t>
      </w:r>
      <w:r w:rsidRPr="00D41378">
        <w:rPr>
          <w:lang w:val="en-US"/>
        </w:rPr>
        <w:t xml:space="preserve">The study was carried out at the tertiary </w:t>
      </w:r>
      <w:bookmarkStart w:id="0" w:name="_Hlk72657702"/>
      <w:r w:rsidRPr="00D41378">
        <w:rPr>
          <w:lang w:val="en-US"/>
        </w:rPr>
        <w:t xml:space="preserve">neonatal intensive care unit </w:t>
      </w:r>
      <w:bookmarkEnd w:id="0"/>
      <w:r w:rsidRPr="00D41378">
        <w:rPr>
          <w:lang w:val="en-US"/>
        </w:rPr>
        <w:t xml:space="preserve">(112 </w:t>
      </w:r>
      <w:r>
        <w:rPr>
          <w:lang w:val="en-US"/>
        </w:rPr>
        <w:t>bed</w:t>
      </w:r>
      <w:r w:rsidRPr="00D41378">
        <w:rPr>
          <w:lang w:val="en-US"/>
        </w:rPr>
        <w:t xml:space="preserve">s) of the Women’s Wellness and Research Center of Hamad Medical Corporation, Doha, Qatar.  </w:t>
      </w:r>
    </w:p>
    <w:p w14:paraId="14A0940D" w14:textId="77777777" w:rsidR="006E3444" w:rsidRPr="00225493" w:rsidRDefault="006E3444" w:rsidP="006E3444">
      <w:pPr>
        <w:spacing w:after="120"/>
        <w:rPr>
          <w:b/>
          <w:bCs/>
          <w:lang w:val="en-US"/>
        </w:rPr>
      </w:pPr>
      <w:r w:rsidRPr="00225493">
        <w:rPr>
          <w:b/>
          <w:bCs/>
          <w:lang w:val="en-US"/>
        </w:rPr>
        <w:t>Participants:</w:t>
      </w:r>
      <w:r w:rsidRPr="00225493">
        <w:rPr>
          <w:lang w:val="en-US"/>
        </w:rPr>
        <w:t xml:space="preserve"> Neonates who were admitted to the unit requiring intravenous treatment wherefore peripheral intravenous cannulation was indicated, were included in this study.</w:t>
      </w:r>
    </w:p>
    <w:p w14:paraId="6F5C7E34" w14:textId="77777777" w:rsidR="006E3444" w:rsidRPr="00225493" w:rsidRDefault="006E3444" w:rsidP="006E3444">
      <w:pPr>
        <w:spacing w:after="120"/>
        <w:rPr>
          <w:shd w:val="clear" w:color="auto" w:fill="FFFFFF"/>
          <w:lang w:val="en-US"/>
        </w:rPr>
      </w:pPr>
      <w:r w:rsidRPr="00225493">
        <w:rPr>
          <w:b/>
          <w:bCs/>
          <w:shd w:val="clear" w:color="auto" w:fill="FFFFFF"/>
          <w:lang w:val="en-US"/>
        </w:rPr>
        <w:t>Results:</w:t>
      </w:r>
      <w:r w:rsidRPr="00225493">
        <w:rPr>
          <w:shd w:val="clear" w:color="auto" w:fill="FFFFFF"/>
          <w:lang w:val="en-US"/>
        </w:rPr>
        <w:t xml:space="preserve"> T</w:t>
      </w:r>
      <w:r w:rsidRPr="00225493">
        <w:rPr>
          <w:lang w:val="en-US"/>
        </w:rPr>
        <w:t>he use of different type of catheters resulted in significantly less therapy failures as phlebitis and increased dwell time, compared with the control groups. This remains significant after adjusting for age at insertion, gestational age, birth weight and catheter type.</w:t>
      </w:r>
    </w:p>
    <w:p w14:paraId="4A6275AB" w14:textId="77777777" w:rsidR="006E3444" w:rsidRPr="00D41378" w:rsidRDefault="006E3444" w:rsidP="006E3444">
      <w:pPr>
        <w:spacing w:after="120"/>
        <w:rPr>
          <w:lang w:val="en-US"/>
        </w:rPr>
      </w:pPr>
      <w:r w:rsidRPr="00225493">
        <w:rPr>
          <w:b/>
          <w:bCs/>
          <w:shd w:val="clear" w:color="auto" w:fill="FFFFFF"/>
          <w:lang w:val="en-US"/>
        </w:rPr>
        <w:t xml:space="preserve">Conclusions: </w:t>
      </w:r>
      <w:r w:rsidRPr="00225493">
        <w:rPr>
          <w:shd w:val="clear" w:color="auto" w:fill="FFFFFF"/>
          <w:lang w:val="en-US"/>
        </w:rPr>
        <w:t xml:space="preserve">The study’s findings are in accord with international literature concerning adult and pediatric patients concerning the superiority of PUR over PTFE catheters with respect to the risk of phlebitis and longer dwell times. However, the risk of failure of therapy did not differ between catheters. This finding is reassuring and </w:t>
      </w:r>
      <w:r w:rsidRPr="00225493">
        <w:rPr>
          <w:lang w:val="en-US"/>
        </w:rPr>
        <w:t>supports practitioner judgment when selecting peripheral catheter devices</w:t>
      </w:r>
      <w:r w:rsidRPr="00225493">
        <w:rPr>
          <w:shd w:val="clear" w:color="auto" w:fill="FFFFFF"/>
          <w:lang w:val="en-US"/>
        </w:rPr>
        <w:t>.</w:t>
      </w:r>
    </w:p>
    <w:p w14:paraId="67EAF9EC" w14:textId="77777777" w:rsidR="00AC3BCD" w:rsidRPr="006E3444" w:rsidRDefault="00AC3BCD" w:rsidP="00AC3BCD">
      <w:pPr>
        <w:jc w:val="both"/>
        <w:rPr>
          <w:color w:val="000000"/>
          <w:lang w:val="en-US"/>
        </w:rPr>
      </w:pPr>
    </w:p>
    <w:p w14:paraId="3C82C7FF" w14:textId="77777777" w:rsidR="00AC3BCD" w:rsidRPr="00352487" w:rsidRDefault="00AC3BCD" w:rsidP="00AC3BCD">
      <w:pPr>
        <w:jc w:val="both"/>
        <w:rPr>
          <w:b/>
        </w:rPr>
      </w:pPr>
      <w:proofErr w:type="spellStart"/>
      <w:r>
        <w:rPr>
          <w:b/>
        </w:rPr>
        <w:t>Biography</w:t>
      </w:r>
      <w:proofErr w:type="spellEnd"/>
    </w:p>
    <w:p w14:paraId="003F65BF" w14:textId="77777777" w:rsidR="00AC3BCD" w:rsidRPr="00352487" w:rsidRDefault="00AC3BCD" w:rsidP="00AC3BCD">
      <w:pPr>
        <w:jc w:val="both"/>
        <w:rPr>
          <w:b/>
        </w:rPr>
      </w:pPr>
    </w:p>
    <w:p w14:paraId="20DFB470" w14:textId="77777777" w:rsidR="00352487" w:rsidRPr="00352487" w:rsidRDefault="00352487" w:rsidP="00352487">
      <w:pPr>
        <w:autoSpaceDE w:val="0"/>
        <w:autoSpaceDN w:val="0"/>
        <w:adjustRightInd w:val="0"/>
        <w:rPr>
          <w:color w:val="000000" w:themeColor="text1"/>
          <w:lang w:val="en-US"/>
        </w:rPr>
      </w:pPr>
      <w:r w:rsidRPr="00352487">
        <w:rPr>
          <w:color w:val="000000" w:themeColor="text1"/>
          <w:lang w:val="en-US"/>
        </w:rPr>
        <w:t xml:space="preserve">Roland (Matheus) van Rens is the clinical Director of Nursing of the neonatal intensive care unit (NICU) at Women’s Wellness and Research Center. He works within a neonatal setting since 1991 and joined Hamad Medical Corporation back in 2013. </w:t>
      </w:r>
    </w:p>
    <w:p w14:paraId="4119F9A4" w14:textId="77777777" w:rsidR="00352487" w:rsidRPr="00352487" w:rsidRDefault="00352487" w:rsidP="00352487">
      <w:pPr>
        <w:autoSpaceDE w:val="0"/>
        <w:autoSpaceDN w:val="0"/>
        <w:adjustRightInd w:val="0"/>
        <w:rPr>
          <w:color w:val="000000" w:themeColor="text1"/>
          <w:lang w:val="en-US"/>
        </w:rPr>
      </w:pPr>
    </w:p>
    <w:p w14:paraId="147F32AE" w14:textId="3118787E" w:rsidR="00352487" w:rsidRPr="00352487" w:rsidRDefault="00352487" w:rsidP="00352487">
      <w:pPr>
        <w:rPr>
          <w:color w:val="000000" w:themeColor="text1"/>
          <w:lang w:val="en-US"/>
        </w:rPr>
      </w:pPr>
      <w:r w:rsidRPr="00352487">
        <w:rPr>
          <w:color w:val="000000" w:themeColor="text1"/>
          <w:lang w:val="en-US"/>
        </w:rPr>
        <w:t xml:space="preserve">In 2005 he graduated as a Master of arts in Advanced Nursing Practice (Ma ANP) and worked for 8 years as a neonatal nurse practitioner at the Erasmus University in the Netherlands. </w:t>
      </w:r>
    </w:p>
    <w:p w14:paraId="12D33BF0" w14:textId="77777777" w:rsidR="00352487" w:rsidRPr="00352487" w:rsidRDefault="00352487" w:rsidP="00352487">
      <w:pPr>
        <w:rPr>
          <w:color w:val="545454"/>
          <w:shd w:val="clear" w:color="auto" w:fill="FFFFFF"/>
          <w:lang w:val="en-US" w:eastAsia="en-GB"/>
        </w:rPr>
      </w:pPr>
    </w:p>
    <w:p w14:paraId="6EC7F15C" w14:textId="5115E445" w:rsidR="00352487" w:rsidRPr="00352487" w:rsidRDefault="00352487" w:rsidP="00352487">
      <w:pPr>
        <w:rPr>
          <w:lang w:val="en-US" w:eastAsia="en-GB"/>
        </w:rPr>
      </w:pPr>
      <w:r w:rsidRPr="00352487">
        <w:rPr>
          <w:lang w:val="en-US" w:eastAsia="en-GB"/>
        </w:rPr>
        <w:lastRenderedPageBreak/>
        <w:t xml:space="preserve">Within the NICU he developed and manages a dedicated vascular access team. Currently he is the primary investigator in several vascular access related studies. </w:t>
      </w:r>
      <w:r w:rsidRPr="00352487">
        <w:rPr>
          <w:color w:val="353535"/>
        </w:rPr>
        <w:t> </w:t>
      </w:r>
    </w:p>
    <w:p w14:paraId="1B2EF747" w14:textId="1E5239CC" w:rsidR="00AC3BCD" w:rsidRPr="00A41107" w:rsidRDefault="00085B88" w:rsidP="00AC3BCD">
      <w:pPr>
        <w:jc w:val="both"/>
        <w:rPr>
          <w:rFonts w:eastAsia="MS PGothic"/>
          <w:b/>
          <w:color w:val="000000"/>
          <w:szCs w:val="32"/>
        </w:rPr>
      </w:pPr>
      <w:r>
        <w:br/>
      </w:r>
    </w:p>
    <w:p w14:paraId="73D11CAF" w14:textId="1012734F"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1628A">
        <w:rPr>
          <w:lang w:val="en-NZ"/>
        </w:rPr>
        <w:t>Roland (Matheus) van Rens</w:t>
      </w:r>
      <w:r w:rsidRPr="008A690F">
        <w:rPr>
          <w:lang w:val="en-NZ"/>
        </w:rPr>
        <w:br/>
        <w:t>Contact number:</w:t>
      </w:r>
      <w:r w:rsidR="0061628A">
        <w:rPr>
          <w:lang w:val="en-NZ"/>
        </w:rPr>
        <w:t xml:space="preserve"> +34 677 150 923</w:t>
      </w:r>
      <w:r w:rsidRPr="008A690F">
        <w:rPr>
          <w:lang w:val="en-NZ"/>
        </w:rPr>
        <w:br/>
        <w:t>Twitter account:</w:t>
      </w:r>
      <w:r w:rsidR="0061628A">
        <w:rPr>
          <w:lang w:val="en-NZ"/>
        </w:rPr>
        <w:t xml:space="preserve"> </w:t>
      </w:r>
      <w:r w:rsidRPr="008A690F">
        <w:rPr>
          <w:lang w:val="en-NZ"/>
        </w:rPr>
        <w:br/>
        <w:t>Linked In account:</w:t>
      </w:r>
      <w:r w:rsidR="0061628A">
        <w:rPr>
          <w:lang w:val="en-NZ"/>
        </w:rPr>
        <w:t xml:space="preserve"> </w:t>
      </w:r>
      <w:r w:rsidR="0061628A" w:rsidRPr="0061628A">
        <w:rPr>
          <w:lang w:val="en-NZ"/>
        </w:rPr>
        <w:t>https://www.linkedin.com/in/roland-vanrens-01571814a/</w:t>
      </w:r>
    </w:p>
    <w:p w14:paraId="38464F26" w14:textId="4FC8DE62" w:rsidR="00AC3BCD" w:rsidRDefault="00AC3BCD" w:rsidP="00FF1484">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E3DBA" w14:textId="77777777" w:rsidR="00247534" w:rsidRDefault="00247534" w:rsidP="00671A59">
      <w:r>
        <w:separator/>
      </w:r>
    </w:p>
  </w:endnote>
  <w:endnote w:type="continuationSeparator" w:id="0">
    <w:p w14:paraId="2B6E910E" w14:textId="77777777" w:rsidR="00247534" w:rsidRDefault="0024753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DF8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D58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C3BEE"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3CE16" w14:textId="77777777" w:rsidR="00247534" w:rsidRDefault="00247534" w:rsidP="00671A59">
      <w:r>
        <w:separator/>
      </w:r>
    </w:p>
  </w:footnote>
  <w:footnote w:type="continuationSeparator" w:id="0">
    <w:p w14:paraId="470976EA" w14:textId="77777777" w:rsidR="00247534" w:rsidRDefault="00247534"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C94E"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1375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F0514"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47534"/>
    <w:rsid w:val="002659F1"/>
    <w:rsid w:val="00270EC9"/>
    <w:rsid w:val="00292DC0"/>
    <w:rsid w:val="002B18D5"/>
    <w:rsid w:val="002C0F2B"/>
    <w:rsid w:val="00352487"/>
    <w:rsid w:val="003753DD"/>
    <w:rsid w:val="003A4429"/>
    <w:rsid w:val="004775E3"/>
    <w:rsid w:val="0049217F"/>
    <w:rsid w:val="00495EC9"/>
    <w:rsid w:val="004A262E"/>
    <w:rsid w:val="004A2CA1"/>
    <w:rsid w:val="004B3B30"/>
    <w:rsid w:val="00505DA1"/>
    <w:rsid w:val="005408D9"/>
    <w:rsid w:val="00555DAD"/>
    <w:rsid w:val="005B168A"/>
    <w:rsid w:val="005C2EA1"/>
    <w:rsid w:val="005C3848"/>
    <w:rsid w:val="005D43ED"/>
    <w:rsid w:val="00605142"/>
    <w:rsid w:val="00612C13"/>
    <w:rsid w:val="0061628A"/>
    <w:rsid w:val="006511AA"/>
    <w:rsid w:val="00671A59"/>
    <w:rsid w:val="00691F82"/>
    <w:rsid w:val="006B463C"/>
    <w:rsid w:val="006C51B8"/>
    <w:rsid w:val="006E3444"/>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5280A"/>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72B52"/>
    <w:rsid w:val="00F90AE2"/>
    <w:rsid w:val="00FA5CBE"/>
    <w:rsid w:val="00FB641C"/>
    <w:rsid w:val="00FC1073"/>
    <w:rsid w:val="00FF1484"/>
    <w:rsid w:val="00FF16A7"/>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6CF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B073E-9C97-4B5E-8495-DAE772AB6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2531</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2022-02-18T20:12:00Z</dcterms:created>
  <dcterms:modified xsi:type="dcterms:W3CDTF">2022-02-18T20:12:00Z</dcterms:modified>
</cp:coreProperties>
</file>