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Platycodin D alleviated allergic airway inflammation including mucus hypersecretion in ovalbumin induced acute asthma mice model.</w:t>
      </w:r>
    </w:p>
    <w:p>
      <w:pPr>
        <w:spacing w:before="0" w:after="0" w:line="276"/>
        <w:ind w:right="0" w:left="0" w:firstLine="0"/>
        <w:jc w:val="both"/>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Platycodin D is a pharmacological constituent of Platycodi Radix, which is known to have anti-diabetic, anti-inflammatory and anti-cancer activities. The effect of platycodin D on allergic airway inflammation has not been evaluated. This study was designed to evaluate and compare the effect of platycodin D to fluticasone propionate (FP) on type 2 allergic airway inflammation. BALB/c mice were sensitized and challenged with ovalbumin (OVA) for 4 weeks. Platycodin D was daily administered intra-orally and FP was inhalated intra-nasally from the day of sensitization. Total and eosinophilic cell counts, expressions of type 2 cytokines were determined from bronchioalveolar lavage fluid (BALF). Changes of peribronchial airway inflammation and goblet cell hyperplasia were determined in lung tissues. Expression of MUC5AC, which is involved in goblet cell hyperplasia was also examined with lung tissues. Platycodin D effectively decreased total and eosinophil counts in BALF. Expression of interleukin (IL)-4 and 13 were also suppressed with platycodin treatment and these effects were not inferior to intranasal FP inhalation in mice model. In lung tissues, H&amp;E stain revealed that peribronchial cell infiltrations were decreased with platycodin D treatment, similar to FP treated group (changes of inflammation score, </w:t>
      </w:r>
      <w:r>
        <w:rPr>
          <w:rFonts w:ascii="Times New Roman" w:hAnsi="Times New Roman" w:cs="Times New Roman" w:eastAsia="Times New Roman"/>
          <w:i/>
          <w:color w:val="auto"/>
          <w:spacing w:val="0"/>
          <w:position w:val="0"/>
          <w:sz w:val="18"/>
          <w:shd w:fill="auto" w:val="clear"/>
        </w:rPr>
        <w:t xml:space="preserve">P</w:t>
      </w:r>
      <w:r>
        <w:rPr>
          <w:rFonts w:ascii="Times New Roman" w:hAnsi="Times New Roman" w:cs="Times New Roman" w:eastAsia="Times New Roman"/>
          <w:color w:val="auto"/>
          <w:spacing w:val="0"/>
          <w:position w:val="0"/>
          <w:sz w:val="18"/>
          <w:shd w:fill="auto" w:val="clear"/>
        </w:rPr>
        <w:t xml:space="preserve"> &lt; 0.001). Periodic Acid Schiff stain was performed to evaluate the goblet cell hyperplasia and expression of MUC5AC gene was determined in lung tissues. Platycodin D was effective on suppression of bronchial goblet cell hyper-proliferation and MUC5AC expression after OVA sensitization and challenge.  This study determined the role of platycodin D in asthmatic airway inflammation induced with OVA sensitization and challenge. Platycodin D effectively suppressed type 2 airway eosinophilic inflammation and goblet cell hyperplasia. Compared to inhaled corticosteroid, these effects were not inferior in our mice model. Platycodin D might be a new anti-inflammatory agent to target type 2 airway inflammation, especially including bronchial mucus hypersecretion. </w:t>
      </w: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