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78DE0" w14:textId="77777777" w:rsidR="009361EA" w:rsidRPr="00322BC4" w:rsidRDefault="009361EA" w:rsidP="009361EA">
      <w:pPr>
        <w:jc w:val="center"/>
        <w:rPr>
          <w:rFonts w:ascii="Cambria" w:eastAsia="Times New Roman" w:hAnsi="Cambria" w:cs="Times New Roman"/>
          <w:sz w:val="40"/>
          <w:szCs w:val="40"/>
        </w:rPr>
      </w:pPr>
      <w:r w:rsidRPr="00322BC4">
        <w:rPr>
          <w:rFonts w:ascii="Cambria" w:eastAsia="Times New Roman" w:hAnsi="Cambria" w:cs="Times New Roman"/>
          <w:color w:val="000000"/>
          <w:sz w:val="40"/>
          <w:szCs w:val="40"/>
        </w:rPr>
        <w:t>Induction of CD4</w:t>
      </w:r>
      <w:r w:rsidRPr="00322BC4">
        <w:rPr>
          <w:rFonts w:ascii="Cambria" w:eastAsia="Times New Roman" w:hAnsi="Cambria" w:cs="Times New Roman"/>
          <w:color w:val="000000"/>
          <w:sz w:val="40"/>
          <w:szCs w:val="40"/>
          <w:vertAlign w:val="superscript"/>
        </w:rPr>
        <w:t>+</w:t>
      </w:r>
      <w:r w:rsidRPr="00322BC4">
        <w:rPr>
          <w:rFonts w:ascii="Cambria" w:eastAsia="Times New Roman" w:hAnsi="Cambria" w:cs="Times New Roman"/>
          <w:color w:val="000000"/>
          <w:sz w:val="40"/>
          <w:szCs w:val="40"/>
        </w:rPr>
        <w:t> CD25</w:t>
      </w:r>
      <w:r w:rsidRPr="00322BC4">
        <w:rPr>
          <w:rFonts w:ascii="Cambria" w:eastAsia="Times New Roman" w:hAnsi="Cambria" w:cs="Times New Roman"/>
          <w:color w:val="000000"/>
          <w:sz w:val="40"/>
          <w:szCs w:val="40"/>
          <w:vertAlign w:val="superscript"/>
        </w:rPr>
        <w:t>+</w:t>
      </w:r>
      <w:r w:rsidRPr="00322BC4">
        <w:rPr>
          <w:rFonts w:ascii="Cambria" w:eastAsia="Times New Roman" w:hAnsi="Cambria" w:cs="Times New Roman"/>
          <w:color w:val="000000"/>
          <w:sz w:val="40"/>
          <w:szCs w:val="40"/>
        </w:rPr>
        <w:t> Regulatory T cells from </w:t>
      </w:r>
      <w:r w:rsidRPr="00322BC4">
        <w:rPr>
          <w:rFonts w:ascii="Cambria" w:eastAsia="Times New Roman" w:hAnsi="Cambria" w:cs="Times New Roman"/>
          <w:i/>
          <w:iCs/>
          <w:color w:val="000000"/>
          <w:sz w:val="40"/>
          <w:szCs w:val="40"/>
        </w:rPr>
        <w:t>in Vitro</w:t>
      </w:r>
      <w:r w:rsidRPr="00322BC4">
        <w:rPr>
          <w:rFonts w:ascii="Cambria" w:eastAsia="Times New Roman" w:hAnsi="Cambria" w:cs="Times New Roman"/>
          <w:color w:val="000000"/>
          <w:sz w:val="40"/>
          <w:szCs w:val="40"/>
        </w:rPr>
        <w:t> grown human Mononuclear Cells by Sparteine Sulfate and </w:t>
      </w:r>
      <w:proofErr w:type="spellStart"/>
      <w:r w:rsidRPr="00322BC4">
        <w:rPr>
          <w:rFonts w:ascii="Cambria" w:eastAsia="Times New Roman" w:hAnsi="Cambria" w:cs="Times New Roman"/>
          <w:color w:val="000000"/>
          <w:sz w:val="40"/>
          <w:szCs w:val="40"/>
        </w:rPr>
        <w:t>Harpagoside</w:t>
      </w:r>
      <w:proofErr w:type="spellEnd"/>
    </w:p>
    <w:p w14:paraId="7AAAAE8D" w14:textId="77777777" w:rsidR="009361EA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</w:rPr>
      </w:pPr>
    </w:p>
    <w:p w14:paraId="00F751CF" w14:textId="77777777" w:rsidR="009361EA" w:rsidRPr="00167F7B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322BC4"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</w:rPr>
        <w:t>Nour Atwany</w:t>
      </w:r>
      <w:r w:rsidRPr="00167F7B"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  <w:vertAlign w:val="superscript"/>
        </w:rPr>
        <w:t>1</w:t>
      </w:r>
      <w:r w:rsidRPr="00167F7B"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</w:rPr>
        <w:t>,</w:t>
      </w:r>
      <w:r w:rsidRPr="00167F7B">
        <w:rPr>
          <w:rFonts w:ascii="Cambria" w:eastAsia="Times New Roman" w:hAnsi="Cambria" w:cs="Times New Roman"/>
          <w:color w:val="000000"/>
          <w:sz w:val="22"/>
          <w:szCs w:val="22"/>
        </w:rPr>
        <w:t> </w:t>
      </w:r>
      <w:r w:rsidRPr="00322BC4"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</w:rPr>
        <w:t>Mona R. Hassuneh</w:t>
      </w:r>
      <w:r w:rsidRPr="00167F7B">
        <w:rPr>
          <w:rFonts w:ascii="Cambria" w:eastAsia="Times New Roman" w:hAnsi="Cambria" w:cs="Times New Roman"/>
          <w:color w:val="000000"/>
          <w:sz w:val="22"/>
          <w:szCs w:val="22"/>
          <w:shd w:val="clear" w:color="auto" w:fill="FFFFFF"/>
          <w:vertAlign w:val="superscript"/>
        </w:rPr>
        <w:t>1</w:t>
      </w:r>
      <w:r w:rsidRPr="00167F7B">
        <w:rPr>
          <w:rFonts w:ascii="Cambria" w:eastAsia="Times New Roman" w:hAnsi="Cambria" w:cs="Times New Roman"/>
          <w:color w:val="000000"/>
          <w:vertAlign w:val="superscript"/>
        </w:rPr>
        <w:t>*</w:t>
      </w:r>
    </w:p>
    <w:p w14:paraId="2B0A2BF8" w14:textId="77777777" w:rsidR="009361EA" w:rsidRPr="00167F7B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2"/>
          <w:szCs w:val="21"/>
        </w:rPr>
      </w:pPr>
      <w:r w:rsidRPr="00167F7B">
        <w:rPr>
          <w:rFonts w:ascii="Cambria" w:eastAsia="Times New Roman" w:hAnsi="Cambria" w:cs="Times New Roman"/>
          <w:color w:val="000000"/>
          <w:sz w:val="22"/>
          <w:szCs w:val="21"/>
        </w:rPr>
        <w:t> </w:t>
      </w:r>
    </w:p>
    <w:p w14:paraId="4045A4A8" w14:textId="77777777" w:rsidR="009361EA" w:rsidRPr="00167F7B" w:rsidRDefault="009361EA" w:rsidP="009361EA">
      <w:pPr>
        <w:ind w:hanging="270"/>
        <w:jc w:val="both"/>
        <w:rPr>
          <w:rFonts w:ascii="Cambria" w:eastAsia="Times New Roman" w:hAnsi="Cambria" w:cs="Times New Roman"/>
          <w:color w:val="000000"/>
          <w:sz w:val="22"/>
          <w:szCs w:val="21"/>
        </w:rPr>
      </w:pPr>
      <w:r w:rsidRPr="00167F7B">
        <w:rPr>
          <w:rFonts w:ascii="Cambria" w:eastAsia="Times New Roman" w:hAnsi="Cambria" w:cs="Times New Roman"/>
          <w:color w:val="000000"/>
          <w:sz w:val="22"/>
          <w:szCs w:val="21"/>
        </w:rPr>
        <w:t>1. </w:t>
      </w:r>
      <w:r w:rsidRPr="00167F7B">
        <w:rPr>
          <w:rFonts w:ascii="Cambria" w:eastAsia="Times New Roman" w:hAnsi="Cambria" w:cs="Times New Roman"/>
          <w:color w:val="000000"/>
          <w:sz w:val="21"/>
          <w:szCs w:val="21"/>
        </w:rPr>
        <w:t>Department of Applied Biology, College of Sciences, University of Sharjah, Sharjah, United Arab Emirates.</w:t>
      </w:r>
    </w:p>
    <w:p w14:paraId="4ACAA506" w14:textId="77777777" w:rsidR="009361EA" w:rsidRPr="00167F7B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2"/>
          <w:szCs w:val="21"/>
        </w:rPr>
      </w:pPr>
      <w:r w:rsidRPr="00167F7B">
        <w:rPr>
          <w:rFonts w:ascii="Cambria" w:eastAsia="Times New Roman" w:hAnsi="Cambria" w:cs="Times New Roman"/>
          <w:color w:val="000000"/>
          <w:sz w:val="22"/>
          <w:szCs w:val="21"/>
        </w:rPr>
        <w:t> </w:t>
      </w:r>
    </w:p>
    <w:p w14:paraId="5B29AD32" w14:textId="77777777" w:rsidR="009361EA" w:rsidRPr="00167F7B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2"/>
          <w:szCs w:val="21"/>
        </w:rPr>
      </w:pPr>
      <w:r w:rsidRPr="00167F7B">
        <w:rPr>
          <w:rFonts w:ascii="Cambria" w:eastAsia="Times New Roman" w:hAnsi="Cambria" w:cs="Times New Roman"/>
          <w:color w:val="000000"/>
          <w:sz w:val="22"/>
          <w:szCs w:val="21"/>
        </w:rPr>
        <w:t> </w:t>
      </w:r>
    </w:p>
    <w:p w14:paraId="68E64515" w14:textId="77777777" w:rsidR="009361EA" w:rsidRPr="00167F7B" w:rsidRDefault="009361EA" w:rsidP="009361EA">
      <w:pPr>
        <w:spacing w:line="216" w:lineRule="atLeast"/>
        <w:jc w:val="center"/>
        <w:rPr>
          <w:rFonts w:ascii="-webkit-standard" w:eastAsia="Times New Roman" w:hAnsi="-webkit-standard" w:cs="Times New Roman"/>
          <w:color w:val="000000"/>
          <w:sz w:val="18"/>
          <w:szCs w:val="18"/>
        </w:rPr>
      </w:pPr>
      <w:r w:rsidRPr="00167F7B">
        <w:rPr>
          <w:rFonts w:ascii="-webkit-standard" w:eastAsia="Times New Roman" w:hAnsi="-webkit-standard" w:cs="Times New Roman"/>
          <w:color w:val="000000"/>
          <w:sz w:val="18"/>
          <w:szCs w:val="18"/>
        </w:rPr>
        <w:t> </w:t>
      </w:r>
    </w:p>
    <w:p w14:paraId="64F52260" w14:textId="77777777" w:rsidR="009361EA" w:rsidRPr="00167F7B" w:rsidRDefault="009361EA" w:rsidP="009361EA">
      <w:pPr>
        <w:spacing w:line="216" w:lineRule="atLeast"/>
        <w:jc w:val="center"/>
        <w:rPr>
          <w:rFonts w:ascii="-webkit-standard" w:eastAsia="Times New Roman" w:hAnsi="-webkit-standard" w:cs="Times New Roman"/>
          <w:color w:val="000000"/>
          <w:sz w:val="18"/>
          <w:szCs w:val="18"/>
        </w:rPr>
      </w:pPr>
      <w:r w:rsidRPr="00167F7B">
        <w:rPr>
          <w:rFonts w:ascii="-webkit-standard" w:eastAsia="Times New Roman" w:hAnsi="-webkit-standard" w:cs="Times New Roman"/>
          <w:color w:val="000000"/>
          <w:sz w:val="18"/>
          <w:szCs w:val="18"/>
        </w:rPr>
        <w:t> </w:t>
      </w:r>
    </w:p>
    <w:p w14:paraId="0BF90C87" w14:textId="6887CF91" w:rsidR="009361EA" w:rsidRPr="009361EA" w:rsidRDefault="009361EA" w:rsidP="009361EA">
      <w:pPr>
        <w:spacing w:line="216" w:lineRule="atLeast"/>
        <w:jc w:val="center"/>
        <w:rPr>
          <w:rFonts w:ascii="-webkit-standard" w:eastAsia="Times New Roman" w:hAnsi="-webkit-standard" w:cs="Times New Roman"/>
          <w:color w:val="000000"/>
        </w:rPr>
      </w:pPr>
      <w:r w:rsidRPr="00167F7B">
        <w:rPr>
          <w:rFonts w:ascii="-webkit-standard" w:eastAsia="Times New Roman" w:hAnsi="-webkit-standard" w:cs="Times New Roman"/>
          <w:color w:val="000000"/>
        </w:rPr>
        <w:t> </w:t>
      </w:r>
      <w:bookmarkStart w:id="0" w:name="_GoBack"/>
      <w:bookmarkEnd w:id="0"/>
    </w:p>
    <w:p w14:paraId="6C624785" w14:textId="77777777" w:rsidR="009361EA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b/>
          <w:bCs/>
          <w:color w:val="000000"/>
          <w:sz w:val="32"/>
          <w:szCs w:val="32"/>
        </w:rPr>
      </w:pPr>
      <w:r w:rsidRPr="00167F7B">
        <w:rPr>
          <w:rFonts w:ascii="Cambria" w:eastAsia="Times New Roman" w:hAnsi="Cambria" w:cs="Times New Roman"/>
          <w:b/>
          <w:bCs/>
          <w:color w:val="000000"/>
          <w:sz w:val="32"/>
          <w:szCs w:val="32"/>
        </w:rPr>
        <w:t>Abstract</w:t>
      </w:r>
    </w:p>
    <w:p w14:paraId="115EA72A" w14:textId="77777777" w:rsidR="009361EA" w:rsidRPr="00167F7B" w:rsidRDefault="009361EA" w:rsidP="009361EA">
      <w:pPr>
        <w:spacing w:line="216" w:lineRule="atLeast"/>
        <w:jc w:val="center"/>
        <w:rPr>
          <w:rFonts w:ascii="Cambria" w:eastAsia="Times New Roman" w:hAnsi="Cambria" w:cs="Times New Roman"/>
          <w:color w:val="000000"/>
          <w:sz w:val="21"/>
          <w:szCs w:val="21"/>
        </w:rPr>
      </w:pPr>
    </w:p>
    <w:p w14:paraId="773FB4D2" w14:textId="77777777" w:rsidR="009361EA" w:rsidRPr="005408DA" w:rsidRDefault="009361EA" w:rsidP="009361EA">
      <w:pPr>
        <w:jc w:val="both"/>
        <w:rPr>
          <w:rFonts w:ascii="Cambria" w:hAnsi="Cambria"/>
          <w:color w:val="000000" w:themeColor="text1"/>
          <w:sz w:val="22"/>
          <w:szCs w:val="22"/>
          <w:u w:color="323232"/>
        </w:rPr>
      </w:pP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Regulatory T cells (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Treg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) are a key player in the down regulation of inflammatory response.  In the current study, two natural small molecules Sparteine Sulfate (SS) and </w:t>
      </w:r>
      <w:proofErr w:type="spellStart"/>
      <w:proofErr w:type="gram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Harpagoside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(</w:t>
      </w:r>
      <w:proofErr w:type="gram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Harp) are investigated for their ability to induce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Treg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cells from human peripheral blood mononuclear cells (PMNCs) in vitro.  PMNCs were isolated from normal volunteers and grown in the presence or absence of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ConA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, TGF-</w:t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sym w:font="Symbol" w:char="F062"/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, with either of the two molecules SS and Harp for 5 days.  Expression of the mRNA of FoxP3, TGF-</w:t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sym w:font="Symbol" w:char="F062"/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sym w:font="Symbol" w:char="F02C"/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sym w:font="Symbol" w:char="F020"/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IL-10 and GAPDH was assessed via Q-PCR. Surface and intra-cellular expression of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Treg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markers including CD4, CD25, CD127 and FoxP3 were measured via flow cytometry.  In addition, the production of the immunosuppressive cytokine IL-10 in the culture supernatants was assessed by ELISA.   For the functional validation of the suppressive role of SS and Harp on PMNC in vitro,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allogenicMLR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 xml:space="preserve"> was conducted.  Data obtained showed that both compounds were able to dramatically increase expression of FoxP3, TGF-</w:t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sym w:font="Symbol" w:char="F062"/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and IL-10 mRNA in resting PMNC, but to a lesser extent in the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ConA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activated cells.  The number of CD4+CD25+FoxP3+CD127-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Treg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cells was also significantly increased whether cells were activated with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ConA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or without it.  The presence of Harp with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ConA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 xml:space="preserve"> activated cells has significantly increased the production of IL-10 from.  Interestingly, the addition of SS or Harp to allogenic cocultured lymphocytes 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hassignificantly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 xml:space="preserve"> reduced the response to allogenic antigens.  Together, our data demonstrate for the first time that SS and Harp have excellent potential to induce </w:t>
      </w:r>
      <w:proofErr w:type="spellStart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Treg</w:t>
      </w:r>
      <w:proofErr w:type="spellEnd"/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 cells and suppress antigenic response in vitro.</w:t>
      </w:r>
    </w:p>
    <w:p w14:paraId="6208CFD4" w14:textId="77777777" w:rsidR="009361EA" w:rsidRPr="00167F7B" w:rsidRDefault="009361EA" w:rsidP="009361EA">
      <w:pPr>
        <w:spacing w:line="216" w:lineRule="atLeast"/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0719D574" w14:textId="7F71769B" w:rsidR="009361EA" w:rsidRPr="00167F7B" w:rsidRDefault="009361EA" w:rsidP="009361EA">
      <w:pPr>
        <w:spacing w:line="216" w:lineRule="atLeast"/>
        <w:jc w:val="both"/>
        <w:rPr>
          <w:rFonts w:ascii="Cambria" w:eastAsia="Times New Roman" w:hAnsi="Cambria" w:cs="Times New Roman"/>
          <w:color w:val="000000"/>
          <w:sz w:val="18"/>
          <w:szCs w:val="18"/>
        </w:rPr>
      </w:pPr>
    </w:p>
    <w:p w14:paraId="051E8A07" w14:textId="77777777" w:rsidR="009361EA" w:rsidRPr="005408DA" w:rsidRDefault="009361EA" w:rsidP="009361EA">
      <w:pPr>
        <w:rPr>
          <w:rStyle w:val="s2"/>
          <w:rFonts w:ascii="Cambria" w:eastAsia="Times New Roman" w:hAnsi="Cambria" w:cs="Times New Roman"/>
          <w:color w:val="000000"/>
          <w:sz w:val="22"/>
          <w:szCs w:val="22"/>
        </w:rPr>
      </w:pPr>
      <w:r w:rsidRPr="00167F7B">
        <w:rPr>
          <w:rFonts w:ascii="Cambria" w:eastAsia="Times New Roman" w:hAnsi="Cambria" w:cs="Times New Roman"/>
          <w:b/>
          <w:bCs/>
          <w:color w:val="000000"/>
          <w:sz w:val="22"/>
          <w:szCs w:val="22"/>
        </w:rPr>
        <w:t>Keywords:</w:t>
      </w:r>
      <w:r w:rsidRPr="00167F7B">
        <w:rPr>
          <w:rFonts w:ascii="Cambria" w:eastAsia="Times New Roman" w:hAnsi="Cambria" w:cs="Times New Roman"/>
          <w:color w:val="000000"/>
          <w:sz w:val="22"/>
          <w:szCs w:val="22"/>
        </w:rPr>
        <w:t> </w:t>
      </w:r>
      <w:r w:rsidRPr="005408DA">
        <w:rPr>
          <w:rFonts w:ascii="Cambria" w:hAnsi="Cambria"/>
          <w:color w:val="000000" w:themeColor="text1"/>
          <w:sz w:val="22"/>
          <w:szCs w:val="22"/>
          <w:u w:color="323232"/>
        </w:rPr>
        <w:t>Human, Foxp3 induction, CD4+ CD25+ Regulatory T cells, Small Natural Molecules, MLR</w:t>
      </w:r>
    </w:p>
    <w:p w14:paraId="1CE42E23" w14:textId="77777777" w:rsidR="00D5720D" w:rsidRDefault="00D5720D"/>
    <w:sectPr w:rsidR="00D5720D" w:rsidSect="006C456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EA"/>
    <w:rsid w:val="006C4569"/>
    <w:rsid w:val="009361EA"/>
    <w:rsid w:val="00D5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8E0AA"/>
  <w15:chartTrackingRefBased/>
  <w15:docId w15:val="{12059919-8143-9F47-AA5D-D590F9CB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2">
    <w:name w:val="s2"/>
    <w:basedOn w:val="DefaultParagraphFont"/>
    <w:rsid w:val="009361EA"/>
  </w:style>
  <w:style w:type="character" w:styleId="Hyperlink">
    <w:name w:val="Hyperlink"/>
    <w:basedOn w:val="DefaultParagraphFont"/>
    <w:uiPriority w:val="99"/>
    <w:unhideWhenUsed/>
    <w:rsid w:val="00936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Hanin Atwany</dc:creator>
  <cp:keywords/>
  <dc:description/>
  <cp:lastModifiedBy>Hanin Atwany</cp:lastModifiedBy>
  <cp:revision>1</cp:revision>
  <dcterms:created xsi:type="dcterms:W3CDTF">2019-08-14T19:15:00Z</dcterms:created>
  <dcterms:modified xsi:type="dcterms:W3CDTF">2019-08-14T19:18:00Z</dcterms:modified>
</cp:coreProperties>
</file>