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8B6" w:rsidRPr="00547A18" w:rsidRDefault="002428B6" w:rsidP="002428B6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547A18">
        <w:rPr>
          <w:rFonts w:asciiTheme="majorBidi" w:hAnsiTheme="majorBidi" w:cstheme="majorBidi"/>
          <w:b/>
          <w:bCs/>
          <w:sz w:val="20"/>
          <w:szCs w:val="20"/>
        </w:rPr>
        <w:t>Association</w:t>
      </w:r>
      <w:r w:rsidRPr="00547A18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Pr="00547A18">
        <w:rPr>
          <w:rFonts w:asciiTheme="majorBidi" w:hAnsiTheme="majorBidi" w:cstheme="majorBidi"/>
          <w:b/>
          <w:bCs/>
          <w:sz w:val="20"/>
          <w:szCs w:val="20"/>
        </w:rPr>
        <w:t>of dietary and lifestyle inflammation score with general and</w:t>
      </w:r>
      <w:r w:rsidRPr="00547A18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Pr="00547A18">
        <w:rPr>
          <w:rFonts w:asciiTheme="majorBidi" w:hAnsiTheme="majorBidi" w:cstheme="majorBidi"/>
          <w:b/>
          <w:bCs/>
          <w:sz w:val="20"/>
          <w:szCs w:val="20"/>
        </w:rPr>
        <w:t>central obesity in</w:t>
      </w:r>
      <w:r w:rsidRPr="00547A18">
        <w:rPr>
          <w:rFonts w:asciiTheme="majorBidi" w:hAnsiTheme="majorBidi" w:cstheme="majorBidi"/>
          <w:b/>
          <w:bCs/>
          <w:sz w:val="20"/>
          <w:szCs w:val="20"/>
          <w:lang w:val="en"/>
        </w:rPr>
        <w:t xml:space="preserve"> adults</w:t>
      </w:r>
    </w:p>
    <w:p w:rsidR="002428B6" w:rsidRPr="002428B6" w:rsidRDefault="002428B6" w:rsidP="00116164">
      <w:pPr>
        <w:bidi w:val="0"/>
        <w:spacing w:line="360" w:lineRule="auto"/>
        <w:rPr>
          <w:rStyle w:val="tlid-translation"/>
          <w:rFonts w:asciiTheme="majorBidi" w:hAnsiTheme="majorBidi" w:cstheme="majorBidi"/>
          <w:sz w:val="20"/>
          <w:szCs w:val="20"/>
          <w:lang w:val="en"/>
        </w:rPr>
      </w:pPr>
      <w:proofErr w:type="spellStart"/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Elaheh</w:t>
      </w:r>
      <w:proofErr w:type="spellEnd"/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</w:t>
      </w:r>
      <w:proofErr w:type="spellStart"/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Asgari</w:t>
      </w:r>
      <w:proofErr w:type="spellEnd"/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, </w:t>
      </w:r>
      <w:r w:rsidRPr="00A117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M</w:t>
      </w:r>
      <w:r w:rsidR="00116164" w:rsidRPr="00A117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S</w:t>
      </w:r>
      <w:r w:rsidR="00A1175E" w:rsidRPr="00A117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c</w:t>
      </w:r>
      <w:r w:rsidRPr="00A117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,</w:t>
      </w:r>
      <w:r w:rsidRPr="002428B6">
        <w:rPr>
          <w:rStyle w:val="tlid-translation"/>
          <w:rFonts w:asciiTheme="majorBidi" w:hAnsiTheme="majorBidi" w:cstheme="majorBidi" w:hint="cs"/>
          <w:sz w:val="20"/>
          <w:szCs w:val="20"/>
          <w:rtl/>
          <w:lang w:val="en"/>
        </w:rPr>
        <w:t xml:space="preserve"> 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Department of Community Nutrition, School of Nutritional Sciences and Dietetics, Tehran University of Medical Sciences (TUMS)</w:t>
      </w:r>
    </w:p>
    <w:p w:rsidR="002428B6" w:rsidRDefault="002428B6" w:rsidP="002428B6">
      <w:pPr>
        <w:bidi w:val="0"/>
        <w:spacing w:line="360" w:lineRule="auto"/>
      </w:pPr>
      <w:r>
        <w:rPr>
          <w:color w:val="BF5A14"/>
        </w:rPr>
        <w:t>Abstract</w:t>
      </w:r>
    </w:p>
    <w:p w:rsidR="002428B6" w:rsidRPr="002428B6" w:rsidRDefault="002428B6" w:rsidP="00886E0D">
      <w:pPr>
        <w:bidi w:val="0"/>
        <w:spacing w:line="360" w:lineRule="auto"/>
        <w:jc w:val="both"/>
        <w:rPr>
          <w:rStyle w:val="tlid-translation"/>
          <w:rFonts w:asciiTheme="majorBidi" w:hAnsiTheme="majorBidi" w:cstheme="majorBidi"/>
          <w:sz w:val="20"/>
          <w:szCs w:val="20"/>
          <w:lang w:val="en"/>
        </w:rPr>
      </w:pP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Statement of the Problem: </w:t>
      </w:r>
      <w:r w:rsidR="00BE24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O</w:t>
      </w:r>
      <w:r w:rsidRPr="00547A18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besity and its complications</w:t>
      </w:r>
      <w:r w:rsidRPr="00547A18">
        <w:rPr>
          <w:rStyle w:val="tlid-translation"/>
          <w:rFonts w:asciiTheme="majorBidi" w:hAnsiTheme="majorBidi" w:cstheme="majorBidi"/>
          <w:sz w:val="20"/>
          <w:szCs w:val="20"/>
          <w:rtl/>
          <w:lang w:val="en"/>
        </w:rPr>
        <w:t xml:space="preserve"> </w:t>
      </w:r>
      <w:r w:rsidRPr="00547A18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have become the main public health challenges in most countries around the world. </w:t>
      </w:r>
      <w:r w:rsidR="00116164" w:rsidRPr="00547A18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It is recently hypothesized that there might be a bidirectional link between adiposity and low</w:t>
      </w:r>
      <w:r w:rsidR="00886E0D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-</w:t>
      </w:r>
      <w:bookmarkStart w:id="0" w:name="_GoBack"/>
      <w:bookmarkEnd w:id="0"/>
      <w:r w:rsidR="00116164" w:rsidRPr="00547A18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grade systemic inflammation. </w:t>
      </w:r>
      <w:r w:rsidR="00116164" w:rsidRPr="00FB2B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Focusing on the </w:t>
      </w:r>
      <w:r w:rsidR="00116164" w:rsidRPr="00FB2B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dietary and lifestyle</w:t>
      </w:r>
      <w:r w:rsidR="00116164"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inflammation score</w:t>
      </w:r>
      <w:r w:rsidR="00116164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</w:t>
      </w:r>
      <w:r w:rsidR="00116164"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(DLIS)</w:t>
      </w:r>
      <w:r w:rsidR="00116164" w:rsidRPr="00FB2B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may </w:t>
      </w:r>
      <w:r w:rsidR="003F0F1F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show</w:t>
      </w:r>
      <w:r w:rsidR="00116164" w:rsidRPr="00FB2B5E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a better picture of the association of human lifestyle as a whole and obesity than that of a single component such as diet or smoking. Therefore, w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e </w:t>
      </w:r>
      <w:r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aimed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to investigate the association of the </w:t>
      </w:r>
      <w:r w:rsidR="00116164"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DLIS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with the likelihood of general and abdominal adiposity in Iranian adult</w:t>
      </w:r>
      <w:r w:rsidR="00BE24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s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.</w:t>
      </w:r>
      <w:r w:rsidR="0055681A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Methodology &amp; Theoretical Orientation: </w:t>
      </w:r>
      <w:r w:rsidR="003F0F1F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In this cross-secti</w:t>
      </w:r>
      <w:r w:rsidR="00886E0D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o</w:t>
      </w:r>
      <w:r w:rsidR="003F0F1F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nal </w:t>
      </w:r>
      <w:r w:rsidR="00886E0D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study, </w:t>
      </w:r>
      <w:r w:rsidR="00886E0D"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834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adults aged 18 to 59 years (69% female, mean age: 44.7 ± 10.7 years)</w:t>
      </w:r>
      <w:r w:rsidR="003F0F1F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were included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.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rtl/>
          <w:lang w:val="en"/>
        </w:rPr>
        <w:t xml:space="preserve"> 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Using a 168-item semi-quantitative food frequency questionnaire, </w:t>
      </w:r>
      <w:r w:rsidR="00BE24B6"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dietary intakes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 </w:t>
      </w:r>
      <w:r w:rsidR="003F0F1F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were 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collected. The DLIS was calculated by data from 18 components of the diet, and two components of the lifestyle including physical activity and cigarette smoking. The odds ratio (OR) and 95% CI of the general and abdominal adiposity across quartiles of the DLIS was calculated by logistic regression analysis after controlling for age, sex, marital</w:t>
      </w:r>
      <w:r w:rsidR="006A24E0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-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status, occupation, education</w:t>
      </w:r>
      <w:r w:rsidR="006A24E0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-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status, and energy</w:t>
      </w:r>
      <w:r w:rsidR="006A24E0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-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 xml:space="preserve">intake. Findings: The DLIS ranged between -3.00 and 2.32 (man ± SD: -0.31 ± 0.99). The ORs of central obesity, as assessed by waist-to-hip ratio (≥0.8 for women and ≥1 for men) across quartiles of the DLIS were as follows: 1.91 (95%CI: 1.21, 3.02), 1.62 (95%CI: 1.03, 2.56), and 1.25 (95%CI: 0.79, 1.97) for the second, third, and fourth quartiles, respectively. The results for weight-to-height ratio (&gt;0.5) were 2.26 (95%CI: 1.24, 4.11), 1.08 (95%CI: 0.63, 1.86), and 1.38 (95%CI: 0.79, 2.39) for the second, third, and fourth quartiles, respectively. Conclusion &amp; Significance: </w:t>
      </w:r>
      <w:r w:rsidR="003F0F1F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T</w:t>
      </w:r>
      <w:r w:rsidRPr="002428B6">
        <w:rPr>
          <w:rStyle w:val="tlid-translation"/>
          <w:rFonts w:asciiTheme="majorBidi" w:hAnsiTheme="majorBidi" w:cstheme="majorBidi"/>
          <w:sz w:val="20"/>
          <w:szCs w:val="20"/>
          <w:lang w:val="en"/>
        </w:rPr>
        <w:t>he present study showed having a diet and lifestyle with more pro-inflammatory properties may be associated with abdominal adiposity.</w:t>
      </w:r>
    </w:p>
    <w:p w:rsidR="002428B6" w:rsidRDefault="002428B6" w:rsidP="002428B6">
      <w:pPr>
        <w:bidi w:val="0"/>
      </w:pPr>
    </w:p>
    <w:p w:rsidR="002428B6" w:rsidRDefault="002428B6" w:rsidP="002428B6">
      <w:pPr>
        <w:bidi w:val="0"/>
        <w:rPr>
          <w:color w:val="BF5A14"/>
        </w:rPr>
      </w:pPr>
      <w:r>
        <w:rPr>
          <w:color w:val="BF5A14"/>
        </w:rPr>
        <w:t>Image</w:t>
      </w:r>
    </w:p>
    <w:p w:rsidR="002428B6" w:rsidRDefault="002428B6" w:rsidP="002428B6">
      <w:pPr>
        <w:bidi w:val="0"/>
        <w:rPr>
          <w:color w:val="BF5A14"/>
        </w:rPr>
      </w:pPr>
      <w:r w:rsidRPr="002428B6">
        <w:rPr>
          <w:noProof/>
          <w:color w:val="BF5A14"/>
          <w:lang w:bidi="ar-SA"/>
        </w:rPr>
        <w:drawing>
          <wp:inline distT="0" distB="0" distL="0" distR="0">
            <wp:extent cx="4977442" cy="2294015"/>
            <wp:effectExtent l="0" t="0" r="0" b="0"/>
            <wp:docPr id="1" name="Picture 1" descr="C:\Users\Jalal Borjizade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lal Borjizade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317" cy="231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8B6" w:rsidRDefault="002428B6" w:rsidP="002428B6">
      <w:pPr>
        <w:bidi w:val="0"/>
        <w:rPr>
          <w:color w:val="BF5A14"/>
        </w:rPr>
      </w:pPr>
    </w:p>
    <w:p w:rsidR="002428B6" w:rsidRDefault="002428B6" w:rsidP="002428B6">
      <w:pPr>
        <w:bidi w:val="0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2428B6" w:rsidRPr="00547A18" w:rsidRDefault="002428B6" w:rsidP="002428B6">
      <w:pPr>
        <w:pStyle w:val="EndNoteBibliography"/>
        <w:spacing w:after="0"/>
        <w:ind w:left="720" w:hanging="7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1</w:t>
      </w:r>
      <w:r w:rsidRPr="00547A18">
        <w:rPr>
          <w:rFonts w:asciiTheme="majorBidi" w:hAnsiTheme="majorBidi" w:cstheme="majorBidi"/>
          <w:sz w:val="20"/>
          <w:szCs w:val="20"/>
        </w:rPr>
        <w:t>.</w:t>
      </w:r>
      <w:r w:rsidRPr="00547A18">
        <w:rPr>
          <w:rFonts w:asciiTheme="majorBidi" w:hAnsiTheme="majorBidi" w:cstheme="majorBidi"/>
          <w:sz w:val="20"/>
          <w:szCs w:val="20"/>
        </w:rPr>
        <w:tab/>
        <w:t xml:space="preserve">Byrd, D.A., et al., </w:t>
      </w:r>
      <w:r w:rsidRPr="00547A18">
        <w:rPr>
          <w:rFonts w:asciiTheme="majorBidi" w:hAnsiTheme="majorBidi" w:cstheme="majorBidi"/>
          <w:i/>
          <w:sz w:val="20"/>
          <w:szCs w:val="20"/>
        </w:rPr>
        <w:t>Development and validation of novel dietary and lifestyle inflammation scores.</w:t>
      </w:r>
      <w:r w:rsidRPr="00547A18">
        <w:rPr>
          <w:rFonts w:asciiTheme="majorBidi" w:hAnsiTheme="majorBidi" w:cstheme="majorBidi"/>
          <w:sz w:val="20"/>
          <w:szCs w:val="20"/>
        </w:rPr>
        <w:t xml:space="preserve"> The Journal of Nutrition, 2019. </w:t>
      </w:r>
      <w:r w:rsidRPr="00547A18">
        <w:rPr>
          <w:rFonts w:asciiTheme="majorBidi" w:hAnsiTheme="majorBidi" w:cstheme="majorBidi"/>
          <w:b/>
          <w:sz w:val="20"/>
          <w:szCs w:val="20"/>
        </w:rPr>
        <w:t>149</w:t>
      </w:r>
      <w:r w:rsidRPr="00547A18">
        <w:rPr>
          <w:rFonts w:asciiTheme="majorBidi" w:hAnsiTheme="majorBidi" w:cstheme="majorBidi"/>
          <w:sz w:val="20"/>
          <w:szCs w:val="20"/>
        </w:rPr>
        <w:t>(12): p. 2206-2218.</w:t>
      </w:r>
    </w:p>
    <w:p w:rsidR="002428B6" w:rsidRPr="00547A18" w:rsidRDefault="002428B6" w:rsidP="002428B6">
      <w:pPr>
        <w:pStyle w:val="EndNoteBibliography"/>
        <w:spacing w:after="0"/>
        <w:ind w:left="720" w:hanging="7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2</w:t>
      </w:r>
      <w:r w:rsidRPr="00547A18">
        <w:rPr>
          <w:rFonts w:asciiTheme="majorBidi" w:hAnsiTheme="majorBidi" w:cstheme="majorBidi"/>
          <w:sz w:val="20"/>
          <w:szCs w:val="20"/>
        </w:rPr>
        <w:t>.</w:t>
      </w:r>
      <w:r w:rsidRPr="00547A18">
        <w:rPr>
          <w:rFonts w:asciiTheme="majorBidi" w:hAnsiTheme="majorBidi" w:cstheme="majorBidi"/>
          <w:sz w:val="20"/>
          <w:szCs w:val="20"/>
        </w:rPr>
        <w:tab/>
        <w:t xml:space="preserve">Ruiz-Canela, M., et al., </w:t>
      </w:r>
      <w:r w:rsidRPr="00547A18">
        <w:rPr>
          <w:rFonts w:asciiTheme="majorBidi" w:hAnsiTheme="majorBidi" w:cstheme="majorBidi"/>
          <w:i/>
          <w:sz w:val="20"/>
          <w:szCs w:val="20"/>
        </w:rPr>
        <w:t>Dietary inflammatory index and anthropometric measures of obesity in a population sample at high cardiovascular risk from the PREDIMED (PREvencion con DIeta MEDiterranea) trial.</w:t>
      </w:r>
      <w:r w:rsidRPr="00547A18">
        <w:rPr>
          <w:rFonts w:asciiTheme="majorBidi" w:hAnsiTheme="majorBidi" w:cstheme="majorBidi"/>
          <w:sz w:val="20"/>
          <w:szCs w:val="20"/>
        </w:rPr>
        <w:t xml:space="preserve"> British journal of nutrition, 2015. </w:t>
      </w:r>
      <w:r w:rsidRPr="00547A18">
        <w:rPr>
          <w:rFonts w:asciiTheme="majorBidi" w:hAnsiTheme="majorBidi" w:cstheme="majorBidi"/>
          <w:b/>
          <w:sz w:val="20"/>
          <w:szCs w:val="20"/>
        </w:rPr>
        <w:t>113</w:t>
      </w:r>
      <w:r w:rsidRPr="00547A18">
        <w:rPr>
          <w:rFonts w:asciiTheme="majorBidi" w:hAnsiTheme="majorBidi" w:cstheme="majorBidi"/>
          <w:sz w:val="20"/>
          <w:szCs w:val="20"/>
        </w:rPr>
        <w:t>(6): p. 984-995.</w:t>
      </w:r>
    </w:p>
    <w:p w:rsidR="002428B6" w:rsidRPr="00547A18" w:rsidRDefault="002428B6" w:rsidP="002428B6">
      <w:pPr>
        <w:pStyle w:val="EndNoteBibliography"/>
        <w:spacing w:after="0"/>
        <w:ind w:left="720" w:hanging="7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3</w:t>
      </w:r>
      <w:r w:rsidRPr="00547A18">
        <w:rPr>
          <w:rFonts w:asciiTheme="majorBidi" w:hAnsiTheme="majorBidi" w:cstheme="majorBidi"/>
          <w:sz w:val="20"/>
          <w:szCs w:val="20"/>
        </w:rPr>
        <w:t>.</w:t>
      </w:r>
      <w:r w:rsidRPr="00547A18">
        <w:rPr>
          <w:rFonts w:asciiTheme="majorBidi" w:hAnsiTheme="majorBidi" w:cstheme="majorBidi"/>
          <w:sz w:val="20"/>
          <w:szCs w:val="20"/>
        </w:rPr>
        <w:tab/>
        <w:t xml:space="preserve">Mirmajidi, S., et al., </w:t>
      </w:r>
      <w:r w:rsidRPr="00547A18">
        <w:rPr>
          <w:rFonts w:asciiTheme="majorBidi" w:hAnsiTheme="majorBidi" w:cstheme="majorBidi"/>
          <w:i/>
          <w:sz w:val="20"/>
          <w:szCs w:val="20"/>
        </w:rPr>
        <w:t>Inflammatory potential of diet: association with chemerin, omentin, lipopolysaccharide-binding protein, and insulin resistance in the apparently healthy obese.</w:t>
      </w:r>
      <w:r w:rsidRPr="00547A18">
        <w:rPr>
          <w:rFonts w:asciiTheme="majorBidi" w:hAnsiTheme="majorBidi" w:cstheme="majorBidi"/>
          <w:sz w:val="20"/>
          <w:szCs w:val="20"/>
        </w:rPr>
        <w:t xml:space="preserve"> Journal of the American College of Nutrition, 2019. </w:t>
      </w:r>
      <w:r w:rsidRPr="00547A18">
        <w:rPr>
          <w:rFonts w:asciiTheme="majorBidi" w:hAnsiTheme="majorBidi" w:cstheme="majorBidi"/>
          <w:b/>
          <w:sz w:val="20"/>
          <w:szCs w:val="20"/>
        </w:rPr>
        <w:t>38</w:t>
      </w:r>
      <w:r w:rsidRPr="00547A18">
        <w:rPr>
          <w:rFonts w:asciiTheme="majorBidi" w:hAnsiTheme="majorBidi" w:cstheme="majorBidi"/>
          <w:sz w:val="20"/>
          <w:szCs w:val="20"/>
        </w:rPr>
        <w:t>(4): p. 302-310.</w:t>
      </w:r>
    </w:p>
    <w:p w:rsidR="002428B6" w:rsidRDefault="002428B6" w:rsidP="002428B6">
      <w:pPr>
        <w:pStyle w:val="EndNoteBibliography"/>
        <w:spacing w:after="0"/>
        <w:ind w:left="720" w:hanging="7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4</w:t>
      </w:r>
      <w:r w:rsidRPr="00547A18">
        <w:rPr>
          <w:rFonts w:asciiTheme="majorBidi" w:hAnsiTheme="majorBidi" w:cstheme="majorBidi"/>
          <w:sz w:val="20"/>
          <w:szCs w:val="20"/>
        </w:rPr>
        <w:t>.</w:t>
      </w:r>
      <w:r w:rsidRPr="00547A18">
        <w:rPr>
          <w:rFonts w:asciiTheme="majorBidi" w:hAnsiTheme="majorBidi" w:cstheme="majorBidi"/>
          <w:sz w:val="20"/>
          <w:szCs w:val="20"/>
        </w:rPr>
        <w:tab/>
        <w:t xml:space="preserve">Shivappa, N., et al., </w:t>
      </w:r>
      <w:r w:rsidRPr="00547A18">
        <w:rPr>
          <w:rFonts w:asciiTheme="majorBidi" w:hAnsiTheme="majorBidi" w:cstheme="majorBidi"/>
          <w:i/>
          <w:sz w:val="20"/>
          <w:szCs w:val="20"/>
        </w:rPr>
        <w:t>A population-based dietary inflammatory index predicts levels of C-reactive protein in the Seasonal Variation of Blood Cholesterol Study (SEASONS).</w:t>
      </w:r>
      <w:r w:rsidRPr="00547A18">
        <w:rPr>
          <w:rFonts w:asciiTheme="majorBidi" w:hAnsiTheme="majorBidi" w:cstheme="majorBidi"/>
          <w:sz w:val="20"/>
          <w:szCs w:val="20"/>
        </w:rPr>
        <w:t xml:space="preserve"> Public health nutrition, 2014. </w:t>
      </w:r>
      <w:r w:rsidRPr="00547A18">
        <w:rPr>
          <w:rFonts w:asciiTheme="majorBidi" w:hAnsiTheme="majorBidi" w:cstheme="majorBidi"/>
          <w:b/>
          <w:sz w:val="20"/>
          <w:szCs w:val="20"/>
        </w:rPr>
        <w:t>17</w:t>
      </w:r>
      <w:r w:rsidRPr="00547A18">
        <w:rPr>
          <w:rFonts w:asciiTheme="majorBidi" w:hAnsiTheme="majorBidi" w:cstheme="majorBidi"/>
          <w:sz w:val="20"/>
          <w:szCs w:val="20"/>
        </w:rPr>
        <w:t>(8): p. 1825-1833.</w:t>
      </w:r>
    </w:p>
    <w:p w:rsidR="002428B6" w:rsidRPr="00547A18" w:rsidRDefault="002428B6" w:rsidP="002428B6">
      <w:pPr>
        <w:pStyle w:val="EndNoteBibliography"/>
        <w:spacing w:after="0"/>
        <w:ind w:left="720" w:hanging="7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5</w:t>
      </w:r>
      <w:r w:rsidRPr="00547A18">
        <w:rPr>
          <w:rFonts w:asciiTheme="majorBidi" w:hAnsiTheme="majorBidi" w:cstheme="majorBidi"/>
          <w:sz w:val="20"/>
          <w:szCs w:val="20"/>
        </w:rPr>
        <w:t>.</w:t>
      </w:r>
      <w:r w:rsidRPr="00547A18">
        <w:rPr>
          <w:rFonts w:asciiTheme="majorBidi" w:hAnsiTheme="majorBidi" w:cstheme="majorBidi"/>
          <w:sz w:val="20"/>
          <w:szCs w:val="20"/>
        </w:rPr>
        <w:tab/>
        <w:t xml:space="preserve">Kim, Y., et al., </w:t>
      </w:r>
      <w:r w:rsidRPr="00547A18">
        <w:rPr>
          <w:rFonts w:asciiTheme="majorBidi" w:hAnsiTheme="majorBidi" w:cstheme="majorBidi"/>
          <w:i/>
          <w:sz w:val="20"/>
          <w:szCs w:val="20"/>
        </w:rPr>
        <w:t>Associations of smoking with overall obesity, and central obesity: a cross-sectional study from the Korea National Health and Nutrition Examination Survey (2010-2013).</w:t>
      </w:r>
      <w:r w:rsidRPr="00547A18">
        <w:rPr>
          <w:rFonts w:asciiTheme="majorBidi" w:hAnsiTheme="majorBidi" w:cstheme="majorBidi"/>
          <w:sz w:val="20"/>
          <w:szCs w:val="20"/>
        </w:rPr>
        <w:t xml:space="preserve"> Epidemiology and health, 2016. </w:t>
      </w:r>
      <w:r w:rsidRPr="00547A18">
        <w:rPr>
          <w:rFonts w:asciiTheme="majorBidi" w:hAnsiTheme="majorBidi" w:cstheme="majorBidi"/>
          <w:b/>
          <w:sz w:val="20"/>
          <w:szCs w:val="20"/>
        </w:rPr>
        <w:t>38</w:t>
      </w:r>
      <w:r w:rsidRPr="00547A18">
        <w:rPr>
          <w:rFonts w:asciiTheme="majorBidi" w:hAnsiTheme="majorBidi" w:cstheme="majorBidi"/>
          <w:sz w:val="20"/>
          <w:szCs w:val="20"/>
        </w:rPr>
        <w:t>.</w:t>
      </w:r>
    </w:p>
    <w:p w:rsidR="002428B6" w:rsidRPr="00547A18" w:rsidRDefault="002428B6" w:rsidP="002428B6">
      <w:pPr>
        <w:pStyle w:val="EndNoteBibliography"/>
        <w:spacing w:after="0"/>
        <w:ind w:left="720" w:hanging="72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6</w:t>
      </w:r>
      <w:r w:rsidRPr="00547A18">
        <w:rPr>
          <w:rFonts w:asciiTheme="majorBidi" w:hAnsiTheme="majorBidi" w:cstheme="majorBidi"/>
          <w:sz w:val="20"/>
          <w:szCs w:val="20"/>
        </w:rPr>
        <w:t>.</w:t>
      </w:r>
      <w:r w:rsidRPr="00547A18">
        <w:rPr>
          <w:rFonts w:asciiTheme="majorBidi" w:hAnsiTheme="majorBidi" w:cstheme="majorBidi"/>
          <w:sz w:val="20"/>
          <w:szCs w:val="20"/>
        </w:rPr>
        <w:tab/>
        <w:t xml:space="preserve">Ertek, S. and A. Cicero, </w:t>
      </w:r>
      <w:r w:rsidRPr="00547A18">
        <w:rPr>
          <w:rFonts w:asciiTheme="majorBidi" w:hAnsiTheme="majorBidi" w:cstheme="majorBidi"/>
          <w:i/>
          <w:sz w:val="20"/>
          <w:szCs w:val="20"/>
        </w:rPr>
        <w:t>Impact of physical activity on inflammation: effects on cardiovascular disease risk and other inflammatory conditions.</w:t>
      </w:r>
      <w:r w:rsidRPr="00547A18">
        <w:rPr>
          <w:rFonts w:asciiTheme="majorBidi" w:hAnsiTheme="majorBidi" w:cstheme="majorBidi"/>
          <w:sz w:val="20"/>
          <w:szCs w:val="20"/>
        </w:rPr>
        <w:t xml:space="preserve"> Archives of medical science: AMS, 2012. </w:t>
      </w:r>
      <w:r w:rsidRPr="00547A18">
        <w:rPr>
          <w:rFonts w:asciiTheme="majorBidi" w:hAnsiTheme="majorBidi" w:cstheme="majorBidi"/>
          <w:b/>
          <w:sz w:val="20"/>
          <w:szCs w:val="20"/>
        </w:rPr>
        <w:t>8</w:t>
      </w:r>
      <w:r w:rsidRPr="00547A18">
        <w:rPr>
          <w:rFonts w:asciiTheme="majorBidi" w:hAnsiTheme="majorBidi" w:cstheme="majorBidi"/>
          <w:sz w:val="20"/>
          <w:szCs w:val="20"/>
        </w:rPr>
        <w:t>(5): p. 794.</w:t>
      </w:r>
    </w:p>
    <w:p w:rsidR="002428B6" w:rsidRDefault="002428B6" w:rsidP="002428B6">
      <w:pPr>
        <w:bidi w:val="0"/>
      </w:pPr>
    </w:p>
    <w:p w:rsidR="0055681A" w:rsidRDefault="0055681A" w:rsidP="0055681A">
      <w:pPr>
        <w:bidi w:val="0"/>
        <w:jc w:val="center"/>
      </w:pPr>
      <w:r>
        <w:rPr>
          <w:rFonts w:ascii="Calibri"/>
          <w:noProof/>
          <w:sz w:val="4"/>
          <w:lang w:bidi="ar-SA"/>
        </w:rPr>
        <mc:AlternateContent>
          <mc:Choice Requires="wpg">
            <w:drawing>
              <wp:inline distT="0" distB="0" distL="0" distR="0" wp14:anchorId="66CF95CE" wp14:editId="44B2FD0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36CE1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55681A" w:rsidRPr="0055681A" w:rsidRDefault="0055681A" w:rsidP="0055681A">
      <w:pPr>
        <w:bidi w:val="0"/>
      </w:pPr>
    </w:p>
    <w:p w:rsidR="0055681A" w:rsidRDefault="0055681A" w:rsidP="0055681A">
      <w:pPr>
        <w:tabs>
          <w:tab w:val="left" w:pos="1545"/>
        </w:tabs>
        <w:bidi w:val="0"/>
        <w:rPr>
          <w:rFonts w:ascii="Arial"/>
          <w:color w:val="BF5A14"/>
        </w:rPr>
      </w:pPr>
      <w:r>
        <w:rPr>
          <w:noProof/>
          <w:lang w:bidi="ar-SA"/>
        </w:rPr>
        <w:drawing>
          <wp:inline distT="0" distB="0" distL="0" distR="0" wp14:anchorId="020583B0" wp14:editId="2899B61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/>
          <w:color w:val="BF5A14"/>
        </w:rPr>
        <w:t>Biography</w:t>
      </w:r>
    </w:p>
    <w:p w:rsidR="0055681A" w:rsidRDefault="00FB2B5E" w:rsidP="009D6202">
      <w:pPr>
        <w:tabs>
          <w:tab w:val="left" w:pos="1545"/>
        </w:tabs>
        <w:bidi w:val="0"/>
      </w:pPr>
      <w:proofErr w:type="spellStart"/>
      <w:r w:rsidRPr="00FB2B5E">
        <w:t>Elaheh</w:t>
      </w:r>
      <w:proofErr w:type="spellEnd"/>
      <w:r w:rsidRPr="00FB2B5E">
        <w:t xml:space="preserve"> </w:t>
      </w:r>
      <w:proofErr w:type="spellStart"/>
      <w:r w:rsidRPr="00FB2B5E">
        <w:t>Asgari</w:t>
      </w:r>
      <w:proofErr w:type="spellEnd"/>
      <w:r w:rsidRPr="00FB2B5E">
        <w:t xml:space="preserve"> is a graduate student at the School of Nutritional Sciences and Dietetics School at Tehran University of Medical Sciences (TUMS). She completed her undergraduate studies in Nutritional Sciences at </w:t>
      </w:r>
      <w:proofErr w:type="spellStart"/>
      <w:r w:rsidRPr="00FB2B5E">
        <w:t>Shahid</w:t>
      </w:r>
      <w:proofErr w:type="spellEnd"/>
      <w:r w:rsidRPr="00FB2B5E">
        <w:t xml:space="preserve"> </w:t>
      </w:r>
      <w:proofErr w:type="spellStart"/>
      <w:r w:rsidRPr="00FB2B5E">
        <w:t>Beheshti</w:t>
      </w:r>
      <w:proofErr w:type="spellEnd"/>
      <w:r w:rsidRPr="00FB2B5E">
        <w:t xml:space="preserve"> University</w:t>
      </w:r>
      <w:r w:rsidR="009D6202">
        <w:t xml:space="preserve"> </w:t>
      </w:r>
      <w:r w:rsidR="009D6202" w:rsidRPr="009D6202">
        <w:t>of Medical Sciences</w:t>
      </w:r>
      <w:r w:rsidRPr="00FB2B5E">
        <w:t xml:space="preserve">. </w:t>
      </w:r>
      <w:proofErr w:type="spellStart"/>
      <w:r w:rsidRPr="00FB2B5E">
        <w:t>Elaheh</w:t>
      </w:r>
      <w:proofErr w:type="spellEnd"/>
      <w:r w:rsidRPr="00FB2B5E">
        <w:t xml:space="preserve"> has 14 years of work experience as a nutritionist in various clinics and hospitals. Her research involves</w:t>
      </w:r>
      <w:r>
        <w:t xml:space="preserve"> obesity, inflammation</w:t>
      </w:r>
      <w:r w:rsidR="009D6202">
        <w:t xml:space="preserve">, diet, </w:t>
      </w:r>
      <w:proofErr w:type="spellStart"/>
      <w:r w:rsidR="009D6202">
        <w:t>nitrition</w:t>
      </w:r>
      <w:proofErr w:type="spellEnd"/>
      <w:r w:rsidR="009D6202">
        <w:t>.</w:t>
      </w:r>
    </w:p>
    <w:p w:rsidR="009D6202" w:rsidRPr="00A1175E" w:rsidRDefault="009D6202" w:rsidP="009D6202">
      <w:pPr>
        <w:bidi w:val="0"/>
        <w:spacing w:before="62"/>
        <w:ind w:right="4235"/>
        <w:rPr>
          <w:rStyle w:val="Hyperlink"/>
        </w:rPr>
      </w:pPr>
      <w:r>
        <w:t xml:space="preserve">Email: </w:t>
      </w:r>
      <w:r w:rsidRPr="00A1175E">
        <w:rPr>
          <w:rStyle w:val="Hyperlink"/>
        </w:rPr>
        <w:t>e.asgari1398@gmail.com</w:t>
      </w:r>
    </w:p>
    <w:p w:rsidR="009D6202" w:rsidRDefault="009D6202" w:rsidP="009D6202">
      <w:pPr>
        <w:tabs>
          <w:tab w:val="left" w:pos="1545"/>
        </w:tabs>
        <w:bidi w:val="0"/>
        <w:rPr>
          <w:rtl/>
        </w:rPr>
      </w:pPr>
    </w:p>
    <w:p w:rsidR="00D84D08" w:rsidRDefault="00D84D08" w:rsidP="009D6202">
      <w:pPr>
        <w:pStyle w:val="BodyText"/>
        <w:spacing w:before="2"/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0899D66" wp14:editId="7A681EB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B0964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D84D08" w:rsidRDefault="00D84D08" w:rsidP="00D84D08">
      <w:pPr>
        <w:bidi w:val="0"/>
        <w:spacing w:before="39"/>
        <w:ind w:left="100"/>
        <w:rPr>
          <w:rFonts w:ascii="Minion Pro"/>
          <w:b/>
          <w:sz w:val="20"/>
        </w:rPr>
      </w:pPr>
    </w:p>
    <w:p w:rsidR="00D84D08" w:rsidRDefault="00D84D08" w:rsidP="00D84D08">
      <w:pPr>
        <w:bidi w:val="0"/>
        <w:spacing w:before="39"/>
        <w:ind w:left="100"/>
        <w:rPr>
          <w:rFonts w:ascii="Minion Pro"/>
          <w:b/>
          <w:sz w:val="20"/>
        </w:rPr>
      </w:pPr>
    </w:p>
    <w:p w:rsidR="00A1175E" w:rsidRDefault="00D84D08" w:rsidP="003F0F1F">
      <w:pPr>
        <w:autoSpaceDE w:val="0"/>
        <w:autoSpaceDN w:val="0"/>
        <w:bidi w:val="0"/>
        <w:adjustRightInd w:val="0"/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9D6202" w:rsidRPr="009D6202">
        <w:rPr>
          <w:sz w:val="20"/>
          <w:szCs w:val="20"/>
          <w:lang w:val="en-NZ"/>
        </w:rPr>
        <w:t>Elaheh</w:t>
      </w:r>
      <w:proofErr w:type="spellEnd"/>
      <w:r w:rsidR="009D6202" w:rsidRPr="009D6202">
        <w:rPr>
          <w:sz w:val="20"/>
          <w:szCs w:val="20"/>
          <w:lang w:val="en-NZ"/>
        </w:rPr>
        <w:t xml:space="preserve"> </w:t>
      </w:r>
      <w:proofErr w:type="spellStart"/>
      <w:r w:rsidR="009D6202" w:rsidRPr="009D6202">
        <w:rPr>
          <w:sz w:val="20"/>
          <w:szCs w:val="20"/>
          <w:lang w:val="en-NZ"/>
        </w:rPr>
        <w:t>Asgari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9D6202">
        <w:rPr>
          <w:sz w:val="20"/>
          <w:szCs w:val="20"/>
          <w:lang w:val="en-NZ"/>
        </w:rPr>
        <w:t xml:space="preserve"> </w:t>
      </w:r>
      <w:r w:rsidR="009D6202" w:rsidRPr="00547A18">
        <w:rPr>
          <w:rFonts w:asciiTheme="majorBidi" w:hAnsiTheme="majorBidi" w:cstheme="majorBidi"/>
          <w:bCs/>
          <w:sz w:val="20"/>
          <w:szCs w:val="20"/>
        </w:rPr>
        <w:t>+9891</w:t>
      </w:r>
      <w:r w:rsidR="009D6202">
        <w:rPr>
          <w:rFonts w:asciiTheme="majorBidi" w:hAnsiTheme="majorBidi" w:cstheme="majorBidi"/>
          <w:bCs/>
          <w:sz w:val="20"/>
          <w:szCs w:val="20"/>
        </w:rPr>
        <w:t>22718347</w:t>
      </w:r>
      <w:r w:rsidRPr="00F35A62">
        <w:rPr>
          <w:sz w:val="20"/>
          <w:szCs w:val="20"/>
          <w:lang w:val="en-NZ"/>
        </w:rPr>
        <w:br/>
        <w:t>Linked In account:</w:t>
      </w:r>
      <w:r w:rsidR="00EE1694">
        <w:rPr>
          <w:sz w:val="20"/>
          <w:szCs w:val="20"/>
          <w:lang w:val="en-NZ"/>
        </w:rPr>
        <w:t xml:space="preserve"> </w:t>
      </w:r>
      <w:hyperlink r:id="rId6" w:history="1">
        <w:r w:rsidR="00EE1694">
          <w:rPr>
            <w:rStyle w:val="Hyperlink"/>
          </w:rPr>
          <w:t>elaheh-asgari-047423224</w:t>
        </w:r>
      </w:hyperlink>
    </w:p>
    <w:p w:rsidR="00D84D08" w:rsidRPr="0055681A" w:rsidRDefault="00D84D08" w:rsidP="00A1175E">
      <w:pPr>
        <w:autoSpaceDE w:val="0"/>
        <w:autoSpaceDN w:val="0"/>
        <w:bidi w:val="0"/>
        <w:adjustRightInd w:val="0"/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(Poster presentation)</w:t>
      </w:r>
    </w:p>
    <w:sectPr w:rsidR="00D84D08" w:rsidRPr="00556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Y0NTQ0NrM0NjE0MjFR0lEKTi0uzszPAykwqQUA5i9qmiwAAAA="/>
  </w:docVars>
  <w:rsids>
    <w:rsidRoot w:val="000D345B"/>
    <w:rsid w:val="000476F2"/>
    <w:rsid w:val="000D345B"/>
    <w:rsid w:val="00116164"/>
    <w:rsid w:val="002428B6"/>
    <w:rsid w:val="003A61A3"/>
    <w:rsid w:val="003F0F1F"/>
    <w:rsid w:val="00556306"/>
    <w:rsid w:val="0055681A"/>
    <w:rsid w:val="006A24E0"/>
    <w:rsid w:val="006D0C34"/>
    <w:rsid w:val="007E14EA"/>
    <w:rsid w:val="00886E0D"/>
    <w:rsid w:val="009D6202"/>
    <w:rsid w:val="00A1175E"/>
    <w:rsid w:val="00B05553"/>
    <w:rsid w:val="00BE24B6"/>
    <w:rsid w:val="00D84D08"/>
    <w:rsid w:val="00DF35BA"/>
    <w:rsid w:val="00EE1694"/>
    <w:rsid w:val="00FB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64164"/>
  <w15:chartTrackingRefBased/>
  <w15:docId w15:val="{E1DE2BB6-CAA3-4FAB-ADD0-9D80D444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202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DF35BA"/>
  </w:style>
  <w:style w:type="character" w:customStyle="1" w:styleId="jlqj4b">
    <w:name w:val="jlqj4b"/>
    <w:basedOn w:val="DefaultParagraphFont"/>
    <w:rsid w:val="002428B6"/>
  </w:style>
  <w:style w:type="paragraph" w:customStyle="1" w:styleId="EndNoteBibliography">
    <w:name w:val="EndNote Bibliography"/>
    <w:basedOn w:val="Normal"/>
    <w:link w:val="EndNoteBibliographyChar"/>
    <w:rsid w:val="002428B6"/>
    <w:pPr>
      <w:bidi w:val="0"/>
      <w:spacing w:line="240" w:lineRule="auto"/>
      <w:jc w:val="both"/>
    </w:pPr>
    <w:rPr>
      <w:rFonts w:ascii="Calibri" w:hAnsi="Calibri"/>
      <w:noProof/>
      <w:lang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2428B6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D84D08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D84D08"/>
    <w:pPr>
      <w:widowControl w:val="0"/>
      <w:bidi w:val="0"/>
      <w:spacing w:after="0" w:line="240" w:lineRule="auto"/>
    </w:pPr>
    <w:rPr>
      <w:rFonts w:ascii="Tw Cen MT" w:eastAsia="Tw Cen MT" w:hAnsi="Tw Cen MT" w:cs="Tw Cen MT"/>
      <w:sz w:val="18"/>
      <w:szCs w:val="18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D84D08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elaheh-asgari-047423224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Jalal Borjizadeh</dc:creator>
  <cp:keywords/>
  <dc:description/>
  <cp:lastModifiedBy>Jalal Borjizadeh</cp:lastModifiedBy>
  <cp:revision>11</cp:revision>
  <dcterms:created xsi:type="dcterms:W3CDTF">2021-12-14T10:26:00Z</dcterms:created>
  <dcterms:modified xsi:type="dcterms:W3CDTF">2021-12-15T05:20:00Z</dcterms:modified>
</cp:coreProperties>
</file>