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0055C" w14:textId="7F51AE64" w:rsidR="00247F7E" w:rsidRPr="008C28E7" w:rsidRDefault="00247F7E" w:rsidP="00247F7E">
      <w:pPr>
        <w:widowControl/>
        <w:autoSpaceDE w:val="0"/>
        <w:autoSpaceDN w:val="0"/>
        <w:adjustRightInd w:val="0"/>
        <w:spacing w:after="240"/>
        <w:rPr>
          <w:rFonts w:eastAsiaTheme="minorHAnsi" w:cs="TimesNewRomanPS-BoldMT"/>
          <w:b/>
          <w:bCs/>
          <w:sz w:val="30"/>
          <w:szCs w:val="30"/>
        </w:rPr>
      </w:pPr>
      <w:r w:rsidRPr="008C28E7">
        <w:rPr>
          <w:rFonts w:eastAsiaTheme="minorHAnsi" w:cs="TimesNewRomanPS-BoldMT"/>
          <w:b/>
          <w:bCs/>
          <w:sz w:val="30"/>
          <w:szCs w:val="30"/>
        </w:rPr>
        <w:t>Mental health outcomes of adults with comorbidity and chronic diseases during the covid-19 pandemic: A matched case-control study</w:t>
      </w:r>
    </w:p>
    <w:p w14:paraId="25E199C0" w14:textId="678FEDCA" w:rsidR="00AE3E37" w:rsidRPr="008C28E7" w:rsidRDefault="00247F7E" w:rsidP="00247F7E">
      <w:pPr>
        <w:pStyle w:val="BodyText"/>
        <w:spacing w:after="240"/>
        <w:rPr>
          <w:rFonts w:eastAsiaTheme="minorHAnsi" w:cs="TimesNewRomanPS-BoldMT"/>
          <w:b/>
          <w:bCs/>
          <w:sz w:val="32"/>
          <w:szCs w:val="32"/>
          <w:vertAlign w:val="superscript"/>
        </w:rPr>
      </w:pPr>
      <w:r w:rsidRPr="008C28E7">
        <w:rPr>
          <w:rFonts w:eastAsiaTheme="minorHAnsi" w:cs="TimesNewRomanPS-BoldMT"/>
          <w:b/>
          <w:bCs/>
          <w:sz w:val="32"/>
          <w:szCs w:val="32"/>
        </w:rPr>
        <w:t>Satyajit Kundu</w:t>
      </w:r>
      <w:r w:rsidRPr="008C28E7">
        <w:rPr>
          <w:rFonts w:eastAsiaTheme="minorHAnsi" w:cs="TimesNewRomanPS-BoldMT"/>
          <w:b/>
          <w:bCs/>
          <w:sz w:val="32"/>
          <w:szCs w:val="32"/>
          <w:vertAlign w:val="superscript"/>
        </w:rPr>
        <w:t>1</w:t>
      </w:r>
      <w:r w:rsidR="00E903AD">
        <w:rPr>
          <w:rFonts w:eastAsiaTheme="minorHAnsi" w:cs="TimesNewRomanPS-BoldMT"/>
          <w:b/>
          <w:bCs/>
          <w:sz w:val="32"/>
          <w:szCs w:val="32"/>
          <w:vertAlign w:val="superscript"/>
        </w:rPr>
        <w:t>,2</w:t>
      </w:r>
      <w:r w:rsidRPr="008C28E7">
        <w:rPr>
          <w:rFonts w:eastAsiaTheme="minorHAnsi" w:cs="TimesNewRomanPS-BoldMT"/>
          <w:b/>
          <w:bCs/>
          <w:sz w:val="32"/>
          <w:szCs w:val="32"/>
        </w:rPr>
        <w:t>, Md. Hasan Al Banna</w:t>
      </w:r>
      <w:r w:rsidR="00E903AD">
        <w:rPr>
          <w:rFonts w:eastAsiaTheme="minorHAnsi" w:cs="TimesNewRomanPS-BoldMT"/>
          <w:b/>
          <w:bCs/>
          <w:sz w:val="32"/>
          <w:szCs w:val="32"/>
          <w:vertAlign w:val="superscript"/>
        </w:rPr>
        <w:t>3</w:t>
      </w:r>
    </w:p>
    <w:p w14:paraId="3316CED6" w14:textId="1B82B146" w:rsidR="00E903AD" w:rsidRPr="00E903AD" w:rsidRDefault="00E903AD" w:rsidP="00741CCE">
      <w:pPr>
        <w:widowControl/>
        <w:autoSpaceDE w:val="0"/>
        <w:autoSpaceDN w:val="0"/>
        <w:adjustRightInd w:val="0"/>
        <w:spacing w:after="60"/>
        <w:rPr>
          <w:rFonts w:eastAsiaTheme="minorHAnsi" w:cs="TimesNewRomanPS-ItalicMT"/>
          <w:i/>
          <w:iCs/>
          <w:sz w:val="20"/>
          <w:szCs w:val="20"/>
        </w:rPr>
      </w:pPr>
      <w:r>
        <w:rPr>
          <w:rFonts w:eastAsiaTheme="minorHAnsi" w:cs="TimesNewRomanPS-ItalicMT"/>
          <w:i/>
          <w:iCs/>
          <w:sz w:val="20"/>
          <w:szCs w:val="20"/>
          <w:vertAlign w:val="superscript"/>
        </w:rPr>
        <w:t>1</w:t>
      </w:r>
      <w:r>
        <w:rPr>
          <w:rFonts w:eastAsiaTheme="minorHAnsi" w:cs="TimesNewRomanPS-ItalicMT"/>
          <w:i/>
          <w:iCs/>
          <w:sz w:val="20"/>
          <w:szCs w:val="20"/>
        </w:rPr>
        <w:t>School of Public Health, Southeast University, Nanjing 210009, China</w:t>
      </w:r>
      <w:r w:rsidR="00D56139">
        <w:rPr>
          <w:rFonts w:eastAsiaTheme="minorHAnsi" w:cs="TimesNewRomanPS-ItalicMT"/>
          <w:i/>
          <w:iCs/>
          <w:sz w:val="20"/>
          <w:szCs w:val="20"/>
        </w:rPr>
        <w:t>.</w:t>
      </w:r>
    </w:p>
    <w:p w14:paraId="52D686F8" w14:textId="151C73F7" w:rsidR="00247F7E" w:rsidRPr="008C28E7" w:rsidRDefault="00E903AD" w:rsidP="00741CCE">
      <w:pPr>
        <w:widowControl/>
        <w:autoSpaceDE w:val="0"/>
        <w:autoSpaceDN w:val="0"/>
        <w:adjustRightInd w:val="0"/>
        <w:spacing w:after="60"/>
        <w:rPr>
          <w:rFonts w:eastAsiaTheme="minorHAnsi" w:cs="TimesNewRomanPS-ItalicMT"/>
          <w:i/>
          <w:iCs/>
          <w:sz w:val="20"/>
          <w:szCs w:val="20"/>
        </w:rPr>
      </w:pPr>
      <w:r>
        <w:rPr>
          <w:rFonts w:eastAsiaTheme="minorHAnsi" w:cs="TimesNewRomanPS-ItalicMT"/>
          <w:i/>
          <w:iCs/>
          <w:sz w:val="20"/>
          <w:szCs w:val="20"/>
          <w:vertAlign w:val="superscript"/>
        </w:rPr>
        <w:t>2</w:t>
      </w:r>
      <w:r w:rsidR="00247F7E" w:rsidRPr="008C28E7">
        <w:rPr>
          <w:rFonts w:eastAsiaTheme="minorHAnsi" w:cs="TimesNewRomanPS-ItalicMT"/>
          <w:i/>
          <w:iCs/>
          <w:sz w:val="20"/>
          <w:szCs w:val="20"/>
        </w:rPr>
        <w:t>Department of Biochemistry and Food Analysis, Patuakhali Science and Technology University, Patuakhali</w:t>
      </w:r>
      <w:r>
        <w:rPr>
          <w:rFonts w:eastAsiaTheme="minorHAnsi" w:cs="TimesNewRomanPS-ItalicMT"/>
          <w:i/>
          <w:iCs/>
          <w:sz w:val="20"/>
          <w:szCs w:val="20"/>
        </w:rPr>
        <w:t xml:space="preserve"> 8602</w:t>
      </w:r>
      <w:r w:rsidR="00247F7E" w:rsidRPr="008C28E7">
        <w:rPr>
          <w:rFonts w:eastAsiaTheme="minorHAnsi" w:cs="TimesNewRomanPS-ItalicMT"/>
          <w:i/>
          <w:iCs/>
          <w:sz w:val="20"/>
          <w:szCs w:val="20"/>
        </w:rPr>
        <w:t>, Bangladesh</w:t>
      </w:r>
      <w:r w:rsidR="003015A5" w:rsidRPr="008C28E7">
        <w:rPr>
          <w:rFonts w:eastAsiaTheme="minorHAnsi" w:cs="TimesNewRomanPS-ItalicMT"/>
          <w:i/>
          <w:iCs/>
          <w:sz w:val="20"/>
          <w:szCs w:val="20"/>
        </w:rPr>
        <w:t>.</w:t>
      </w:r>
    </w:p>
    <w:p w14:paraId="16EA3973" w14:textId="2E4E5955" w:rsidR="00741CCE" w:rsidRPr="00741CCE" w:rsidRDefault="00E903AD" w:rsidP="00741CCE">
      <w:pPr>
        <w:pStyle w:val="BodyText"/>
        <w:spacing w:after="60"/>
        <w:rPr>
          <w:rFonts w:eastAsiaTheme="minorHAnsi" w:cs="TimesNewRomanPS-ItalicMT"/>
          <w:i/>
          <w:iCs/>
          <w:sz w:val="20"/>
          <w:szCs w:val="20"/>
        </w:rPr>
        <w:sectPr w:rsidR="00741CCE" w:rsidRPr="00741CCE" w:rsidSect="00916EA2">
          <w:headerReference w:type="default" r:id="rId7"/>
          <w:footerReference w:type="default" r:id="rId8"/>
          <w:type w:val="continuous"/>
          <w:pgSz w:w="11910" w:h="16840"/>
          <w:pgMar w:top="1296" w:right="605" w:bottom="1008" w:left="619" w:header="547" w:footer="648" w:gutter="0"/>
          <w:cols w:space="720"/>
        </w:sectPr>
      </w:pPr>
      <w:r>
        <w:rPr>
          <w:rFonts w:eastAsiaTheme="minorHAnsi" w:cs="TimesNewRomanPS-ItalicMT"/>
          <w:i/>
          <w:iCs/>
          <w:sz w:val="20"/>
          <w:szCs w:val="20"/>
          <w:vertAlign w:val="superscript"/>
        </w:rPr>
        <w:t>3</w:t>
      </w:r>
      <w:r w:rsidR="00247F7E" w:rsidRPr="008C28E7">
        <w:rPr>
          <w:rFonts w:eastAsiaTheme="minorHAnsi" w:cs="TimesNewRomanPS-ItalicMT"/>
          <w:i/>
          <w:iCs/>
          <w:sz w:val="20"/>
          <w:szCs w:val="20"/>
        </w:rPr>
        <w:t>Department of Food Microbiology, Patuakhali Science and Technology University, Patuakhali</w:t>
      </w:r>
      <w:r>
        <w:rPr>
          <w:rFonts w:eastAsiaTheme="minorHAnsi" w:cs="TimesNewRomanPS-ItalicMT"/>
          <w:i/>
          <w:iCs/>
          <w:sz w:val="20"/>
          <w:szCs w:val="20"/>
        </w:rPr>
        <w:t xml:space="preserve"> 8602</w:t>
      </w:r>
      <w:r w:rsidR="00247F7E" w:rsidRPr="008C28E7">
        <w:rPr>
          <w:rFonts w:eastAsiaTheme="minorHAnsi" w:cs="TimesNewRomanPS-ItalicMT"/>
          <w:i/>
          <w:iCs/>
          <w:sz w:val="20"/>
          <w:szCs w:val="20"/>
        </w:rPr>
        <w:t>, Bangladesh</w:t>
      </w:r>
      <w:r w:rsidR="003015A5" w:rsidRPr="008C28E7">
        <w:rPr>
          <w:rFonts w:eastAsiaTheme="minorHAnsi" w:cs="TimesNewRomanPS-ItalicMT"/>
          <w:i/>
          <w:iCs/>
          <w:sz w:val="20"/>
          <w:szCs w:val="20"/>
        </w:rPr>
        <w:t>.</w:t>
      </w:r>
    </w:p>
    <w:p w14:paraId="32AAA3F4" w14:textId="54D5256E" w:rsidR="00AE3E37" w:rsidRPr="008C28E7" w:rsidRDefault="00A9710C">
      <w:pPr>
        <w:pStyle w:val="Heading3"/>
        <w:spacing w:before="147"/>
        <w:jc w:val="both"/>
        <w:rPr>
          <w:rFonts w:ascii="Tw Cen MT" w:hAnsi="Tw Cen MT"/>
          <w:sz w:val="22"/>
          <w:szCs w:val="22"/>
          <w:u w:val="single"/>
        </w:rPr>
      </w:pPr>
      <w:r w:rsidRPr="008C28E7">
        <w:rPr>
          <w:rFonts w:ascii="Tw Cen MT" w:hAnsi="Tw Cen MT"/>
          <w:color w:val="BF5A14"/>
          <w:sz w:val="22"/>
          <w:szCs w:val="22"/>
          <w:u w:val="single"/>
        </w:rPr>
        <w:t>Abstract</w:t>
      </w:r>
      <w:r w:rsidR="00404E5B" w:rsidRPr="008C28E7">
        <w:rPr>
          <w:rFonts w:ascii="Tw Cen MT" w:hAnsi="Tw Cen MT"/>
          <w:color w:val="BF5A14"/>
          <w:sz w:val="22"/>
          <w:szCs w:val="22"/>
          <w:u w:val="single"/>
        </w:rPr>
        <w:t xml:space="preserve"> (300 word</w:t>
      </w:r>
      <w:r w:rsidR="00247F7E" w:rsidRPr="008C28E7">
        <w:rPr>
          <w:rFonts w:ascii="Tw Cen MT" w:hAnsi="Tw Cen MT"/>
          <w:color w:val="BF5A14"/>
          <w:sz w:val="22"/>
          <w:szCs w:val="22"/>
          <w:u w:val="single"/>
        </w:rPr>
        <w:t>s</w:t>
      </w:r>
      <w:r w:rsidR="00404E5B" w:rsidRPr="008C28E7">
        <w:rPr>
          <w:rFonts w:ascii="Tw Cen MT" w:hAnsi="Tw Cen MT"/>
          <w:color w:val="BF5A14"/>
          <w:sz w:val="22"/>
          <w:szCs w:val="22"/>
          <w:u w:val="single"/>
        </w:rPr>
        <w:t xml:space="preserve"> limit)</w:t>
      </w:r>
    </w:p>
    <w:p w14:paraId="7E90D5A7" w14:textId="74EE0207" w:rsidR="00247F7E" w:rsidRPr="008C28E7" w:rsidRDefault="00247F7E" w:rsidP="00247F7E">
      <w:pPr>
        <w:pStyle w:val="BodyText"/>
        <w:spacing w:before="90" w:line="280" w:lineRule="auto"/>
        <w:ind w:left="100"/>
        <w:jc w:val="both"/>
      </w:pPr>
      <w:r w:rsidRPr="008C28E7">
        <w:rPr>
          <w:b/>
          <w:bCs/>
        </w:rPr>
        <w:t>Background:</w:t>
      </w:r>
      <w:r w:rsidRPr="008C28E7">
        <w:t xml:space="preserve"> Individuals with certain pre-existing chronic health conditions have been identified as a high-risk group for fatalities of COVID-19. Therefore, it is likely that individuals with chronic diseases may worry during this pandemic to the detriment of their mental health. This study compares the mental health of Bangladeshi adults affected by chronic disease to a healthy, matched control group during the COVID-19 pandemic.</w:t>
      </w:r>
    </w:p>
    <w:p w14:paraId="7CE23EB1" w14:textId="759122AC" w:rsidR="00247F7E" w:rsidRPr="008C28E7" w:rsidRDefault="00247F7E" w:rsidP="00DF6247">
      <w:pPr>
        <w:pStyle w:val="BodyText"/>
        <w:spacing w:before="90" w:line="280" w:lineRule="auto"/>
        <w:ind w:left="100"/>
        <w:jc w:val="both"/>
      </w:pPr>
      <w:r w:rsidRPr="008C28E7">
        <w:rPr>
          <w:b/>
          <w:bCs/>
        </w:rPr>
        <w:t>Subjects and methods:</w:t>
      </w:r>
      <w:r w:rsidRPr="008C28E7">
        <w:t xml:space="preserve"> A matched case-control analysis was performed with data collected from 395 respondents with chronic diseases and 395 controls matched for age, gender, and residence. Inclusion criteria for cases were respondents who self-reported</w:t>
      </w:r>
      <w:r w:rsidR="00DF6247" w:rsidRPr="008C28E7">
        <w:t xml:space="preserve"> </w:t>
      </w:r>
      <w:r w:rsidRPr="008C28E7">
        <w:t>having asthma, cardiovascular disease symptoms and/or diabetes. Respondents were recruited using an online survey, which</w:t>
      </w:r>
      <w:r w:rsidR="00DF6247" w:rsidRPr="008C28E7">
        <w:t xml:space="preserve"> </w:t>
      </w:r>
      <w:r w:rsidRPr="008C28E7">
        <w:t>included the DASS-21 measure to assess symptoms of stress, anxiety, and depression. Chi-square test, t-test, Fisher’s exact test and a conditional logistic regression were performed to examine associations among variables.</w:t>
      </w:r>
    </w:p>
    <w:p w14:paraId="36291379" w14:textId="0F7DD7A0" w:rsidR="00247F7E" w:rsidRPr="008C28E7" w:rsidRDefault="00247F7E" w:rsidP="00DF6247">
      <w:pPr>
        <w:pStyle w:val="BodyText"/>
        <w:spacing w:before="90" w:line="280" w:lineRule="auto"/>
        <w:ind w:left="100"/>
        <w:jc w:val="both"/>
      </w:pPr>
      <w:r w:rsidRPr="008C28E7">
        <w:rPr>
          <w:b/>
          <w:bCs/>
        </w:rPr>
        <w:t>Results:</w:t>
      </w:r>
      <w:r w:rsidRPr="008C28E7">
        <w:t xml:space="preserve"> The prevalence of anxiety symptoms and depression symptoms and the level of stress were significantly higher among</w:t>
      </w:r>
      <w:r w:rsidR="00DF6247" w:rsidRPr="008C28E7">
        <w:t xml:space="preserve"> </w:t>
      </w:r>
      <w:r w:rsidRPr="008C28E7">
        <w:t>cases (59%; 71.6%; 73.7%, respectively) than among controls (25.6%; 31.1%; 43.3%, respectively). Chi-square and t-test showed</w:t>
      </w:r>
      <w:r w:rsidR="00DF6247" w:rsidRPr="008C28E7">
        <w:t xml:space="preserve"> </w:t>
      </w:r>
      <w:r w:rsidRPr="008C28E7">
        <w:t>significant associations and differences between having chronic diseases and mental health outcomes. A conditional logistic</w:t>
      </w:r>
      <w:r w:rsidR="00DF6247" w:rsidRPr="008C28E7">
        <w:t xml:space="preserve"> </w:t>
      </w:r>
      <w:r w:rsidRPr="008C28E7">
        <w:t>regression showed that respondents with asthma, diabetes, cardiovascular disease symptoms, or any combination of these diseases</w:t>
      </w:r>
      <w:r w:rsidR="00DF6247" w:rsidRPr="008C28E7">
        <w:t xml:space="preserve"> </w:t>
      </w:r>
      <w:r w:rsidRPr="008C28E7">
        <w:t>had higher odds of exhibiting symptoms of stress, anxiety, and depression than healthy individuals.</w:t>
      </w:r>
    </w:p>
    <w:p w14:paraId="7ADE755C" w14:textId="77777777" w:rsidR="00375250" w:rsidRPr="008C28E7" w:rsidRDefault="00247F7E" w:rsidP="00DF6247">
      <w:pPr>
        <w:pStyle w:val="BodyText"/>
        <w:spacing w:before="90" w:line="280" w:lineRule="auto"/>
        <w:ind w:left="100"/>
        <w:jc w:val="both"/>
        <w:rPr>
          <w:noProof/>
          <w:sz w:val="4"/>
          <w:lang w:val="en-IN" w:eastAsia="en-IN"/>
        </w:rPr>
      </w:pPr>
      <w:r w:rsidRPr="008C28E7">
        <w:rPr>
          <w:b/>
          <w:bCs/>
        </w:rPr>
        <w:t>Conclusion:</w:t>
      </w:r>
      <w:r w:rsidRPr="008C28E7">
        <w:t xml:space="preserve"> These results underscore a subpopulation vulnerable to mental health consequences during this pandemic and</w:t>
      </w:r>
      <w:r w:rsidR="00DF6247" w:rsidRPr="008C28E7">
        <w:t xml:space="preserve"> </w:t>
      </w:r>
      <w:r w:rsidRPr="008C28E7">
        <w:t>indicate the need for additional mental health resources to be available to those with chronic diseases.</w:t>
      </w:r>
      <w:r w:rsidR="00F32732" w:rsidRPr="008C28E7">
        <w:rPr>
          <w:noProof/>
          <w:sz w:val="4"/>
          <w:lang w:val="en-IN" w:eastAsia="en-IN"/>
        </w:rPr>
        <w:t xml:space="preserve"> </w:t>
      </w:r>
    </w:p>
    <w:p w14:paraId="5760A3CD" w14:textId="064AB3C0" w:rsidR="00AE3E37" w:rsidRPr="008C28E7" w:rsidRDefault="00F32732" w:rsidP="00DF6247">
      <w:pPr>
        <w:pStyle w:val="BodyText"/>
        <w:spacing w:before="90" w:line="280" w:lineRule="auto"/>
        <w:ind w:left="100"/>
        <w:jc w:val="both"/>
      </w:pPr>
      <w:r w:rsidRPr="008C28E7">
        <w:rPr>
          <w:noProof/>
          <w:sz w:val="4"/>
          <w:lang w:val="en-IN" w:eastAsia="en-IN"/>
        </w:rPr>
        <mc:AlternateContent>
          <mc:Choice Requires="wpg">
            <w:drawing>
              <wp:inline distT="0" distB="0" distL="0" distR="0" wp14:anchorId="49D61209" wp14:editId="1193E54E">
                <wp:extent cx="3329940" cy="88265"/>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9940" cy="88265"/>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78DB82" id="Group 4" o:spid="_x0000_s1026" style="width:262.2pt;height:6.9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178D959" w14:textId="37C87F12" w:rsidR="00AE3E37" w:rsidRPr="008C28E7" w:rsidRDefault="00F32732" w:rsidP="00247F7E">
      <w:pPr>
        <w:pStyle w:val="Heading3"/>
        <w:spacing w:before="74"/>
        <w:ind w:left="0"/>
        <w:rPr>
          <w:rFonts w:ascii="Tw Cen MT" w:hAnsi="Tw Cen MT"/>
        </w:rPr>
      </w:pPr>
      <w:r w:rsidRPr="008C28E7">
        <w:rPr>
          <w:rFonts w:ascii="Tw Cen MT" w:hAnsi="Tw Cen MT" w:cs="Times New Roman"/>
          <w:bCs w:val="0"/>
          <w:noProof/>
          <w:sz w:val="24"/>
          <w:szCs w:val="24"/>
        </w:rPr>
        <w:drawing>
          <wp:anchor distT="0" distB="0" distL="114300" distR="114300" simplePos="0" relativeHeight="251659776" behindDoc="1" locked="0" layoutInCell="1" allowOverlap="1" wp14:anchorId="0BEC9F97" wp14:editId="0AB7D0C5">
            <wp:simplePos x="0" y="0"/>
            <wp:positionH relativeFrom="column">
              <wp:posOffset>33020</wp:posOffset>
            </wp:positionH>
            <wp:positionV relativeFrom="paragraph">
              <wp:posOffset>163195</wp:posOffset>
            </wp:positionV>
            <wp:extent cx="807720" cy="908050"/>
            <wp:effectExtent l="0" t="0" r="0" b="6350"/>
            <wp:wrapTight wrapText="bothSides">
              <wp:wrapPolygon edited="0">
                <wp:start x="0" y="0"/>
                <wp:lineTo x="0" y="21298"/>
                <wp:lineTo x="20887" y="21298"/>
                <wp:lineTo x="2088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07720" cy="908050"/>
                    </a:xfrm>
                    <a:prstGeom prst="rect">
                      <a:avLst/>
                    </a:prstGeom>
                  </pic:spPr>
                </pic:pic>
              </a:graphicData>
            </a:graphic>
            <wp14:sizeRelH relativeFrom="page">
              <wp14:pctWidth>0</wp14:pctWidth>
            </wp14:sizeRelH>
            <wp14:sizeRelV relativeFrom="page">
              <wp14:pctHeight>0</wp14:pctHeight>
            </wp14:sizeRelV>
          </wp:anchor>
        </w:drawing>
      </w:r>
      <w:r w:rsidR="00A9710C" w:rsidRPr="008C28E7">
        <w:rPr>
          <w:rFonts w:ascii="Tw Cen MT" w:hAnsi="Tw Cen MT"/>
          <w:b w:val="0"/>
        </w:rPr>
        <w:br w:type="column"/>
      </w:r>
    </w:p>
    <w:p w14:paraId="0436F810" w14:textId="09FC859A" w:rsidR="00AE3E37" w:rsidRPr="008C28E7" w:rsidRDefault="00AE3E37">
      <w:pPr>
        <w:pStyle w:val="BodyText"/>
        <w:spacing w:before="2"/>
        <w:rPr>
          <w:b/>
          <w:sz w:val="16"/>
        </w:rPr>
      </w:pPr>
    </w:p>
    <w:p w14:paraId="13B1F3E5" w14:textId="650F52E9" w:rsidR="008C28E7" w:rsidRPr="008C28E7" w:rsidRDefault="005973B9" w:rsidP="008C28E7">
      <w:pPr>
        <w:spacing w:line="204" w:lineRule="exact"/>
        <w:ind w:left="100"/>
        <w:rPr>
          <w:b/>
          <w:sz w:val="20"/>
          <w:u w:val="single"/>
        </w:rPr>
      </w:pPr>
      <w:r w:rsidRPr="008C28E7">
        <w:rPr>
          <w:b/>
          <w:color w:val="BF5A14"/>
          <w:szCs w:val="24"/>
          <w:u w:val="single"/>
        </w:rPr>
        <w:t>Recent Publications (minimum 5)</w:t>
      </w:r>
    </w:p>
    <w:p w14:paraId="02A7789E" w14:textId="77777777" w:rsidR="008C28E7" w:rsidRPr="001F00DD" w:rsidRDefault="008C28E7" w:rsidP="008C28E7">
      <w:pPr>
        <w:pStyle w:val="ListParagraph"/>
        <w:widowControl/>
        <w:numPr>
          <w:ilvl w:val="0"/>
          <w:numId w:val="4"/>
        </w:numPr>
        <w:autoSpaceDE w:val="0"/>
        <w:autoSpaceDN w:val="0"/>
        <w:adjustRightInd w:val="0"/>
        <w:spacing w:before="0" w:after="10" w:line="267" w:lineRule="auto"/>
        <w:contextualSpacing/>
        <w:rPr>
          <w:rFonts w:ascii="Tw Cen MT" w:hAnsi="Tw Cen MT"/>
          <w:color w:val="2197D2"/>
          <w:sz w:val="8"/>
          <w:szCs w:val="8"/>
        </w:rPr>
      </w:pPr>
      <w:r w:rsidRPr="001F00DD">
        <w:rPr>
          <w:rFonts w:ascii="Tw Cen MT" w:hAnsi="Tw Cen MT"/>
          <w:b/>
          <w:sz w:val="18"/>
          <w:szCs w:val="18"/>
        </w:rPr>
        <w:t xml:space="preserve">Satyajit Kundu*, </w:t>
      </w:r>
      <w:r w:rsidRPr="001F00DD">
        <w:rPr>
          <w:rFonts w:ascii="Tw Cen MT" w:hAnsi="Tw Cen MT"/>
          <w:sz w:val="18"/>
          <w:szCs w:val="18"/>
        </w:rPr>
        <w:t>Md. Hasan Al Banna*,</w:t>
      </w:r>
      <w:r w:rsidRPr="001F00DD">
        <w:rPr>
          <w:rFonts w:ascii="Tw Cen MT" w:hAnsi="Tw Cen MT"/>
          <w:color w:val="000000" w:themeColor="text1"/>
          <w:sz w:val="18"/>
          <w:szCs w:val="18"/>
        </w:rPr>
        <w:t xml:space="preserve"> Abu Sayeed*</w:t>
      </w:r>
      <w:r w:rsidRPr="001F00DD">
        <w:rPr>
          <w:rFonts w:ascii="Tw Cen MT" w:hAnsi="Tw Cen MT"/>
          <w:sz w:val="18"/>
          <w:szCs w:val="18"/>
        </w:rPr>
        <w:t xml:space="preserve">, et al., (2020): Determinants of household food security and dietary diversity during the COVID-19 pandemic in Bangladesh. </w:t>
      </w:r>
      <w:r w:rsidRPr="001F00DD">
        <w:rPr>
          <w:rFonts w:ascii="Tw Cen MT" w:hAnsi="Tw Cen MT"/>
          <w:bCs/>
          <w:i/>
          <w:sz w:val="18"/>
          <w:szCs w:val="18"/>
        </w:rPr>
        <w:t>Public Health Nutrition</w:t>
      </w:r>
      <w:r w:rsidRPr="001F00DD">
        <w:rPr>
          <w:rFonts w:ascii="Tw Cen MT" w:hAnsi="Tw Cen MT"/>
          <w:bCs/>
          <w:sz w:val="18"/>
          <w:szCs w:val="18"/>
        </w:rPr>
        <w:t>,</w:t>
      </w:r>
      <w:r w:rsidRPr="001F00DD">
        <w:rPr>
          <w:rFonts w:ascii="Tw Cen MT" w:hAnsi="Tw Cen MT"/>
          <w:sz w:val="18"/>
          <w:szCs w:val="18"/>
        </w:rPr>
        <w:t xml:space="preserve"> DOI:</w:t>
      </w:r>
    </w:p>
    <w:p w14:paraId="1A256E78" w14:textId="3F3054CD" w:rsidR="008C28E7" w:rsidRPr="001F00DD" w:rsidRDefault="008C28E7" w:rsidP="008C28E7">
      <w:pPr>
        <w:pStyle w:val="ListParagraph"/>
        <w:widowControl/>
        <w:autoSpaceDE w:val="0"/>
        <w:autoSpaceDN w:val="0"/>
        <w:adjustRightInd w:val="0"/>
        <w:spacing w:before="0" w:after="10" w:line="267" w:lineRule="auto"/>
        <w:ind w:left="360" w:firstLine="0"/>
        <w:contextualSpacing/>
        <w:rPr>
          <w:rStyle w:val="Hyperlink"/>
          <w:rFonts w:ascii="Tw Cen MT" w:hAnsi="Tw Cen MT"/>
          <w:color w:val="2197D2"/>
          <w:sz w:val="8"/>
          <w:szCs w:val="8"/>
          <w:u w:val="none"/>
        </w:rPr>
      </w:pPr>
      <w:r w:rsidRPr="001F00DD">
        <w:rPr>
          <w:sz w:val="18"/>
          <w:szCs w:val="18"/>
        </w:rPr>
        <w:t xml:space="preserve"> </w:t>
      </w:r>
      <w:r w:rsidR="00D47D04" w:rsidRPr="001F00DD">
        <w:rPr>
          <w:sz w:val="18"/>
          <w:szCs w:val="18"/>
        </w:rPr>
        <w:t xml:space="preserve">   </w:t>
      </w:r>
      <w:hyperlink r:id="rId10" w:history="1">
        <w:r w:rsidR="00D47D04" w:rsidRPr="001F00DD">
          <w:rPr>
            <w:rStyle w:val="Hyperlink"/>
            <w:rFonts w:ascii="Tw Cen MT" w:hAnsi="Tw Cen MT"/>
            <w:sz w:val="18"/>
            <w:szCs w:val="18"/>
          </w:rPr>
          <w:t>https://doi.org/10.1017/S1368980020005042</w:t>
        </w:r>
      </w:hyperlink>
    </w:p>
    <w:p w14:paraId="1CBBC379" w14:textId="77777777" w:rsidR="008C28E7" w:rsidRPr="001F00DD" w:rsidRDefault="008C28E7" w:rsidP="008C28E7">
      <w:pPr>
        <w:pStyle w:val="ListParagraph"/>
        <w:widowControl/>
        <w:autoSpaceDE w:val="0"/>
        <w:autoSpaceDN w:val="0"/>
        <w:adjustRightInd w:val="0"/>
        <w:spacing w:before="0" w:after="10" w:line="267" w:lineRule="auto"/>
        <w:ind w:left="360" w:firstLine="0"/>
        <w:contextualSpacing/>
        <w:rPr>
          <w:rFonts w:ascii="Tw Cen MT" w:hAnsi="Tw Cen MT"/>
          <w:color w:val="2197D2"/>
          <w:sz w:val="8"/>
          <w:szCs w:val="8"/>
        </w:rPr>
      </w:pPr>
    </w:p>
    <w:p w14:paraId="6EB8E7A4" w14:textId="77777777" w:rsidR="001F00DD" w:rsidRDefault="008C28E7" w:rsidP="008C28E7">
      <w:pPr>
        <w:pStyle w:val="ListParagraph"/>
        <w:widowControl/>
        <w:numPr>
          <w:ilvl w:val="0"/>
          <w:numId w:val="4"/>
        </w:numPr>
        <w:autoSpaceDE w:val="0"/>
        <w:autoSpaceDN w:val="0"/>
        <w:adjustRightInd w:val="0"/>
        <w:spacing w:before="0" w:after="10" w:line="267" w:lineRule="auto"/>
        <w:contextualSpacing/>
        <w:rPr>
          <w:rFonts w:ascii="Tw Cen MT" w:eastAsiaTheme="minorHAnsi" w:hAnsi="Tw Cen MT"/>
          <w:sz w:val="18"/>
          <w:szCs w:val="18"/>
        </w:rPr>
      </w:pPr>
      <w:r w:rsidRPr="001F00DD">
        <w:rPr>
          <w:rFonts w:ascii="Tw Cen MT" w:eastAsiaTheme="minorHAnsi" w:hAnsi="Tw Cen MT"/>
          <w:b/>
          <w:bCs/>
          <w:sz w:val="18"/>
          <w:szCs w:val="18"/>
        </w:rPr>
        <w:t>Satyajit Kundu*</w:t>
      </w:r>
      <w:r w:rsidRPr="001F00DD">
        <w:rPr>
          <w:rFonts w:ascii="Tw Cen MT" w:eastAsiaTheme="minorHAnsi" w:hAnsi="Tw Cen MT"/>
          <w:sz w:val="18"/>
          <w:szCs w:val="18"/>
        </w:rPr>
        <w:t xml:space="preserve">, Jhantu Bakchi* et al., (2021): Depressive symptoms associated with loneliness and physical activities among graduate university students in Bangladesh: findings from a cross-sectional pilot study. </w:t>
      </w:r>
      <w:r w:rsidRPr="001F00DD">
        <w:rPr>
          <w:rFonts w:ascii="Tw Cen MT" w:eastAsiaTheme="minorHAnsi" w:hAnsi="Tw Cen MT"/>
          <w:i/>
          <w:iCs/>
          <w:sz w:val="18"/>
          <w:szCs w:val="18"/>
        </w:rPr>
        <w:t>Heliyon</w:t>
      </w:r>
      <w:r w:rsidRPr="001F00DD">
        <w:rPr>
          <w:rFonts w:ascii="Tw Cen MT" w:eastAsiaTheme="minorHAnsi" w:hAnsi="Tw Cen MT"/>
          <w:sz w:val="18"/>
          <w:szCs w:val="18"/>
        </w:rPr>
        <w:t>, DOI:</w:t>
      </w:r>
    </w:p>
    <w:p w14:paraId="290BA72B" w14:textId="036B283A" w:rsidR="008C28E7" w:rsidRPr="001F00DD" w:rsidRDefault="00320430" w:rsidP="001F00DD">
      <w:pPr>
        <w:pStyle w:val="ListParagraph"/>
        <w:widowControl/>
        <w:autoSpaceDE w:val="0"/>
        <w:autoSpaceDN w:val="0"/>
        <w:adjustRightInd w:val="0"/>
        <w:spacing w:before="0" w:after="10" w:line="267" w:lineRule="auto"/>
        <w:ind w:left="540" w:firstLine="0"/>
        <w:contextualSpacing/>
        <w:rPr>
          <w:rFonts w:ascii="Tw Cen MT" w:eastAsiaTheme="minorHAnsi" w:hAnsi="Tw Cen MT"/>
          <w:sz w:val="18"/>
          <w:szCs w:val="18"/>
        </w:rPr>
      </w:pPr>
      <w:hyperlink r:id="rId11" w:history="1">
        <w:r w:rsidR="001F00DD" w:rsidRPr="000B2EB8">
          <w:rPr>
            <w:rStyle w:val="Hyperlink"/>
            <w:rFonts w:ascii="Tw Cen MT" w:eastAsiaTheme="minorHAnsi" w:hAnsi="Tw Cen MT"/>
            <w:sz w:val="18"/>
            <w:szCs w:val="18"/>
          </w:rPr>
          <w:t>https://doi.org/10.1016/j.heliyon.2021.e06401</w:t>
        </w:r>
      </w:hyperlink>
    </w:p>
    <w:p w14:paraId="3F18F197" w14:textId="77777777" w:rsidR="008C28E7" w:rsidRPr="001F00DD" w:rsidRDefault="008C28E7" w:rsidP="008C28E7">
      <w:pPr>
        <w:autoSpaceDE w:val="0"/>
        <w:autoSpaceDN w:val="0"/>
        <w:adjustRightInd w:val="0"/>
        <w:jc w:val="both"/>
        <w:rPr>
          <w:rStyle w:val="Hyperlink"/>
          <w:rFonts w:eastAsia="MyriadPro-SemiCn"/>
          <w:color w:val="000000"/>
          <w:sz w:val="12"/>
          <w:szCs w:val="14"/>
        </w:rPr>
      </w:pPr>
    </w:p>
    <w:p w14:paraId="1C313735" w14:textId="77777777" w:rsidR="001F00DD" w:rsidRPr="001F00DD" w:rsidRDefault="008C28E7" w:rsidP="005C7459">
      <w:pPr>
        <w:pStyle w:val="ListParagraph"/>
        <w:widowControl/>
        <w:numPr>
          <w:ilvl w:val="0"/>
          <w:numId w:val="4"/>
        </w:numPr>
        <w:autoSpaceDE w:val="0"/>
        <w:autoSpaceDN w:val="0"/>
        <w:adjustRightInd w:val="0"/>
        <w:spacing w:before="0" w:after="10" w:line="267" w:lineRule="auto"/>
        <w:contextualSpacing/>
        <w:rPr>
          <w:rFonts w:ascii="Tw Cen MT" w:hAnsi="Tw Cen MT"/>
          <w:color w:val="2197D2"/>
          <w:sz w:val="18"/>
          <w:szCs w:val="18"/>
        </w:rPr>
      </w:pPr>
      <w:r w:rsidRPr="001F00DD">
        <w:rPr>
          <w:rFonts w:ascii="Tw Cen MT" w:hAnsi="Tw Cen MT"/>
          <w:sz w:val="18"/>
          <w:szCs w:val="18"/>
        </w:rPr>
        <w:t xml:space="preserve">Md. Hasan Al Banna, </w:t>
      </w:r>
      <w:r w:rsidRPr="001F00DD">
        <w:rPr>
          <w:rFonts w:ascii="Tw Cen MT" w:hAnsi="Tw Cen MT"/>
          <w:bCs/>
          <w:sz w:val="18"/>
          <w:szCs w:val="18"/>
        </w:rPr>
        <w:t>Keith Brazendale…,</w:t>
      </w:r>
      <w:r w:rsidRPr="001F00DD">
        <w:rPr>
          <w:rFonts w:ascii="Tw Cen MT" w:hAnsi="Tw Cen MT"/>
          <w:b/>
          <w:sz w:val="18"/>
          <w:szCs w:val="18"/>
        </w:rPr>
        <w:t xml:space="preserve"> </w:t>
      </w:r>
      <w:r w:rsidRPr="001F00DD">
        <w:rPr>
          <w:rFonts w:ascii="Tw Cen MT" w:hAnsi="Tw Cen MT"/>
          <w:sz w:val="18"/>
          <w:szCs w:val="18"/>
        </w:rPr>
        <w:t>and</w:t>
      </w:r>
      <w:r w:rsidRPr="001F00DD">
        <w:rPr>
          <w:rFonts w:ascii="Tw Cen MT" w:hAnsi="Tw Cen MT"/>
          <w:b/>
          <w:sz w:val="18"/>
          <w:szCs w:val="18"/>
        </w:rPr>
        <w:t xml:space="preserve"> Satyajit Kundu</w:t>
      </w:r>
      <w:r w:rsidRPr="001F00DD">
        <w:rPr>
          <w:rFonts w:ascii="Tw Cen MT" w:hAnsi="Tw Cen MT"/>
          <w:sz w:val="18"/>
          <w:szCs w:val="18"/>
        </w:rPr>
        <w:t xml:space="preserve"> (2020): Factors associated with overweight </w:t>
      </w:r>
      <w:r w:rsidRPr="001F00DD">
        <w:rPr>
          <w:rFonts w:ascii="Tw Cen MT" w:hAnsi="Tw Cen MT"/>
          <w:sz w:val="18"/>
          <w:szCs w:val="20"/>
        </w:rPr>
        <w:t xml:space="preserve">and obesity among Bangladeshi university students: A case-control study. </w:t>
      </w:r>
      <w:r w:rsidRPr="001F00DD">
        <w:rPr>
          <w:rFonts w:ascii="Tw Cen MT" w:hAnsi="Tw Cen MT"/>
          <w:bCs/>
          <w:i/>
          <w:sz w:val="18"/>
          <w:szCs w:val="20"/>
        </w:rPr>
        <w:t>Journal of American College Health</w:t>
      </w:r>
      <w:r w:rsidRPr="001F00DD">
        <w:rPr>
          <w:rFonts w:ascii="Tw Cen MT" w:hAnsi="Tw Cen MT"/>
          <w:sz w:val="18"/>
          <w:szCs w:val="20"/>
        </w:rPr>
        <w:t xml:space="preserve">, </w:t>
      </w:r>
      <w:r w:rsidRPr="001F00DD">
        <w:rPr>
          <w:rFonts w:ascii="Tw Cen MT" w:hAnsi="Tw Cen MT"/>
          <w:sz w:val="18"/>
          <w:szCs w:val="18"/>
        </w:rPr>
        <w:t>DOI:</w:t>
      </w:r>
    </w:p>
    <w:p w14:paraId="1D2824DA" w14:textId="6FD60312" w:rsidR="005C7459" w:rsidRPr="001F00DD" w:rsidRDefault="00320430" w:rsidP="001F00DD">
      <w:pPr>
        <w:pStyle w:val="ListParagraph"/>
        <w:widowControl/>
        <w:autoSpaceDE w:val="0"/>
        <w:autoSpaceDN w:val="0"/>
        <w:adjustRightInd w:val="0"/>
        <w:spacing w:before="0" w:after="10" w:line="267" w:lineRule="auto"/>
        <w:ind w:left="540" w:firstLine="0"/>
        <w:contextualSpacing/>
        <w:rPr>
          <w:rStyle w:val="Hyperlink"/>
          <w:rFonts w:ascii="Tw Cen MT" w:hAnsi="Tw Cen MT"/>
          <w:color w:val="2197D2"/>
          <w:sz w:val="18"/>
          <w:szCs w:val="18"/>
          <w:u w:val="none"/>
        </w:rPr>
      </w:pPr>
      <w:hyperlink r:id="rId12" w:history="1">
        <w:r w:rsidR="001F00DD" w:rsidRPr="000B2EB8">
          <w:rPr>
            <w:rStyle w:val="Hyperlink"/>
            <w:rFonts w:ascii="Tw Cen MT" w:hAnsi="Tw Cen MT"/>
            <w:sz w:val="18"/>
            <w:szCs w:val="18"/>
          </w:rPr>
          <w:t>https://doi.org/</w:t>
        </w:r>
        <w:r w:rsidR="001F00DD" w:rsidRPr="000B2EB8">
          <w:rPr>
            <w:rStyle w:val="Hyperlink"/>
            <w:rFonts w:ascii="Tw Cen MT" w:eastAsiaTheme="minorHAnsi" w:hAnsi="Tw Cen MT"/>
            <w:sz w:val="18"/>
            <w:szCs w:val="18"/>
          </w:rPr>
          <w:t>10.1080/07448481.2020.1851695</w:t>
        </w:r>
      </w:hyperlink>
    </w:p>
    <w:p w14:paraId="02824B75" w14:textId="77777777" w:rsidR="005C7459" w:rsidRPr="001F00DD" w:rsidRDefault="005C7459" w:rsidP="005C7459">
      <w:pPr>
        <w:widowControl/>
        <w:autoSpaceDE w:val="0"/>
        <w:autoSpaceDN w:val="0"/>
        <w:adjustRightInd w:val="0"/>
        <w:spacing w:line="267" w:lineRule="auto"/>
        <w:contextualSpacing/>
        <w:rPr>
          <w:rStyle w:val="Hyperlink"/>
          <w:rFonts w:eastAsia="Calibri"/>
          <w:color w:val="2197D2"/>
          <w:sz w:val="2"/>
          <w:szCs w:val="2"/>
          <w:u w:val="none"/>
        </w:rPr>
      </w:pPr>
    </w:p>
    <w:p w14:paraId="044419B7" w14:textId="77777777" w:rsidR="009A4A7B" w:rsidRPr="001F00DD" w:rsidRDefault="005C7459" w:rsidP="005C7459">
      <w:pPr>
        <w:pStyle w:val="ListParagraph"/>
        <w:widowControl/>
        <w:numPr>
          <w:ilvl w:val="0"/>
          <w:numId w:val="4"/>
        </w:numPr>
        <w:autoSpaceDE w:val="0"/>
        <w:autoSpaceDN w:val="0"/>
        <w:adjustRightInd w:val="0"/>
        <w:spacing w:after="10" w:line="267" w:lineRule="auto"/>
        <w:contextualSpacing/>
        <w:rPr>
          <w:rFonts w:ascii="Tw Cen MT" w:hAnsi="Tw Cen MT"/>
          <w:sz w:val="18"/>
          <w:szCs w:val="18"/>
        </w:rPr>
      </w:pPr>
      <w:r w:rsidRPr="001F00DD">
        <w:rPr>
          <w:rFonts w:ascii="Tw Cen MT" w:hAnsi="Tw Cen MT"/>
          <w:sz w:val="18"/>
          <w:szCs w:val="18"/>
        </w:rPr>
        <w:t>4.</w:t>
      </w:r>
      <w:r w:rsidRPr="001F00DD">
        <w:rPr>
          <w:rFonts w:ascii="Tw Cen MT" w:hAnsi="Tw Cen MT"/>
          <w:sz w:val="18"/>
          <w:szCs w:val="18"/>
        </w:rPr>
        <w:tab/>
        <w:t>Md. Hasan Al Banna*, Abu Sayeed*, Satyajit Kundu*, Enryka Christopher, M. Tasdik Hasan, et al., (2020): The impact of the COVID-19 pandemic on the mental health of the adult population in Bangladesh: a nationwide cross-sectional study. International Journal of Environmental Health Research, DOI:</w:t>
      </w:r>
    </w:p>
    <w:p w14:paraId="2B42FCBF" w14:textId="209E60DB" w:rsidR="005C7459" w:rsidRPr="001F00DD" w:rsidRDefault="00320430" w:rsidP="009A4A7B">
      <w:pPr>
        <w:pStyle w:val="ListParagraph"/>
        <w:widowControl/>
        <w:autoSpaceDE w:val="0"/>
        <w:autoSpaceDN w:val="0"/>
        <w:adjustRightInd w:val="0"/>
        <w:spacing w:after="10" w:line="267" w:lineRule="auto"/>
        <w:ind w:left="540" w:firstLine="0"/>
        <w:contextualSpacing/>
        <w:rPr>
          <w:rFonts w:ascii="Tw Cen MT" w:hAnsi="Tw Cen MT"/>
          <w:sz w:val="18"/>
          <w:szCs w:val="18"/>
        </w:rPr>
      </w:pPr>
      <w:hyperlink r:id="rId13" w:history="1">
        <w:r w:rsidR="009A4A7B" w:rsidRPr="001F00DD">
          <w:rPr>
            <w:rStyle w:val="Hyperlink"/>
            <w:rFonts w:ascii="Tw Cen MT" w:hAnsi="Tw Cen MT"/>
            <w:sz w:val="18"/>
            <w:szCs w:val="18"/>
          </w:rPr>
          <w:t>https://doi.org/10.1080/09603123.2020.1802409</w:t>
        </w:r>
      </w:hyperlink>
    </w:p>
    <w:p w14:paraId="7EB0407A" w14:textId="77777777" w:rsidR="005C7459" w:rsidRPr="005C7459" w:rsidRDefault="005C7459" w:rsidP="005C7459">
      <w:pPr>
        <w:widowControl/>
        <w:autoSpaceDE w:val="0"/>
        <w:autoSpaceDN w:val="0"/>
        <w:adjustRightInd w:val="0"/>
        <w:spacing w:after="10" w:line="267" w:lineRule="auto"/>
        <w:contextualSpacing/>
        <w:rPr>
          <w:sz w:val="2"/>
          <w:szCs w:val="2"/>
        </w:rPr>
      </w:pPr>
    </w:p>
    <w:p w14:paraId="43E70560" w14:textId="77777777" w:rsidR="005C7459" w:rsidRPr="00D243B6" w:rsidRDefault="005C7459" w:rsidP="005C7459">
      <w:pPr>
        <w:widowControl/>
        <w:autoSpaceDE w:val="0"/>
        <w:autoSpaceDN w:val="0"/>
        <w:adjustRightInd w:val="0"/>
        <w:spacing w:after="10" w:line="267" w:lineRule="auto"/>
        <w:contextualSpacing/>
        <w:rPr>
          <w:sz w:val="6"/>
          <w:szCs w:val="6"/>
        </w:rPr>
      </w:pPr>
    </w:p>
    <w:p w14:paraId="3CA06B2F" w14:textId="77777777" w:rsidR="001F00DD" w:rsidRDefault="005C7459" w:rsidP="005C7459">
      <w:pPr>
        <w:pStyle w:val="ListParagraph"/>
        <w:widowControl/>
        <w:numPr>
          <w:ilvl w:val="0"/>
          <w:numId w:val="4"/>
        </w:numPr>
        <w:autoSpaceDE w:val="0"/>
        <w:autoSpaceDN w:val="0"/>
        <w:adjustRightInd w:val="0"/>
        <w:spacing w:before="0" w:after="10" w:line="267" w:lineRule="auto"/>
        <w:contextualSpacing/>
        <w:rPr>
          <w:rFonts w:ascii="Tw Cen MT" w:hAnsi="Tw Cen MT"/>
          <w:sz w:val="18"/>
          <w:szCs w:val="18"/>
        </w:rPr>
      </w:pPr>
      <w:r w:rsidRPr="001F00DD">
        <w:rPr>
          <w:rFonts w:ascii="Tw Cen MT" w:hAnsi="Tw Cen MT"/>
          <w:sz w:val="18"/>
          <w:szCs w:val="18"/>
        </w:rPr>
        <w:t>5.</w:t>
      </w:r>
      <w:r w:rsidRPr="001F00DD">
        <w:rPr>
          <w:rFonts w:ascii="Tw Cen MT" w:hAnsi="Tw Cen MT"/>
          <w:sz w:val="18"/>
          <w:szCs w:val="18"/>
        </w:rPr>
        <w:tab/>
        <w:t>Satyajit Kundu*, Md. Hasan Al Banna*, Abu Sayeed*, et al., (2021): Knowledge, attitudes and preventive practices towards COVID-19 pandemic: An online survey among Bangladeshi residents. Journal of Public Health, DOI:</w:t>
      </w:r>
    </w:p>
    <w:p w14:paraId="32F3FEAA" w14:textId="452E3E74" w:rsidR="005C7459" w:rsidRPr="001F00DD" w:rsidRDefault="00320430" w:rsidP="001F00DD">
      <w:pPr>
        <w:pStyle w:val="ListParagraph"/>
        <w:widowControl/>
        <w:autoSpaceDE w:val="0"/>
        <w:autoSpaceDN w:val="0"/>
        <w:adjustRightInd w:val="0"/>
        <w:spacing w:before="0" w:after="10" w:line="267" w:lineRule="auto"/>
        <w:ind w:left="540" w:firstLine="0"/>
        <w:contextualSpacing/>
        <w:rPr>
          <w:rFonts w:ascii="Tw Cen MT" w:hAnsi="Tw Cen MT"/>
          <w:sz w:val="18"/>
          <w:szCs w:val="18"/>
        </w:rPr>
      </w:pPr>
      <w:hyperlink r:id="rId14" w:history="1">
        <w:r w:rsidR="00D243B6" w:rsidRPr="000B2EB8">
          <w:rPr>
            <w:rStyle w:val="Hyperlink"/>
            <w:rFonts w:ascii="Tw Cen MT" w:hAnsi="Tw Cen MT"/>
            <w:sz w:val="18"/>
            <w:szCs w:val="18"/>
          </w:rPr>
          <w:t>https://doi.org/10.1007/s10389-021-01636-5</w:t>
        </w:r>
      </w:hyperlink>
    </w:p>
    <w:p w14:paraId="3DBA5F89" w14:textId="77777777" w:rsidR="005C7459" w:rsidRPr="005C7459" w:rsidRDefault="005C7459" w:rsidP="005C7459">
      <w:pPr>
        <w:widowControl/>
        <w:autoSpaceDE w:val="0"/>
        <w:autoSpaceDN w:val="0"/>
        <w:adjustRightInd w:val="0"/>
        <w:spacing w:after="10" w:line="267" w:lineRule="auto"/>
        <w:contextualSpacing/>
        <w:rPr>
          <w:sz w:val="20"/>
          <w:szCs w:val="20"/>
        </w:rPr>
      </w:pPr>
    </w:p>
    <w:p w14:paraId="79CD0E79" w14:textId="77777777" w:rsidR="00AE3E37" w:rsidRPr="008C28E7" w:rsidRDefault="00AE3E37" w:rsidP="008756E6">
      <w:pPr>
        <w:tabs>
          <w:tab w:val="left" w:pos="384"/>
        </w:tabs>
        <w:ind w:right="117"/>
        <w:rPr>
          <w:sz w:val="20"/>
          <w:szCs w:val="20"/>
        </w:rPr>
      </w:pPr>
    </w:p>
    <w:p w14:paraId="4AB133F7" w14:textId="77777777" w:rsidR="00AE3E37" w:rsidRPr="008C28E7" w:rsidRDefault="008756E6">
      <w:pPr>
        <w:spacing w:line="200" w:lineRule="exact"/>
        <w:jc w:val="both"/>
        <w:sectPr w:rsidR="00AE3E37" w:rsidRPr="008C28E7">
          <w:type w:val="continuous"/>
          <w:pgSz w:w="11910" w:h="16840"/>
          <w:pgMar w:top="1740" w:right="600" w:bottom="840" w:left="620" w:header="720" w:footer="720" w:gutter="0"/>
          <w:cols w:num="2" w:space="720" w:equalWidth="0">
            <w:col w:w="5214" w:space="138"/>
            <w:col w:w="5338"/>
          </w:cols>
        </w:sectPr>
      </w:pPr>
      <w:r w:rsidRPr="008C28E7">
        <w:t xml:space="preserve">   </w:t>
      </w:r>
    </w:p>
    <w:p w14:paraId="0B2355E3" w14:textId="77777777" w:rsidR="00AE3E37" w:rsidRPr="008C28E7" w:rsidRDefault="00AE3E37">
      <w:pPr>
        <w:pStyle w:val="BodyText"/>
        <w:rPr>
          <w:sz w:val="20"/>
        </w:rPr>
      </w:pPr>
    </w:p>
    <w:p w14:paraId="65A2A00F" w14:textId="5B91D596" w:rsidR="00AE3E37" w:rsidRPr="008C28E7" w:rsidRDefault="00AE3E37">
      <w:pPr>
        <w:pStyle w:val="BodyText"/>
        <w:spacing w:line="40" w:lineRule="exact"/>
        <w:ind w:left="2202"/>
        <w:rPr>
          <w:sz w:val="4"/>
        </w:rPr>
      </w:pPr>
    </w:p>
    <w:p w14:paraId="2AE33AF0" w14:textId="7562E260" w:rsidR="002A196B" w:rsidRPr="008C28E7" w:rsidRDefault="008756E6" w:rsidP="00404E5B">
      <w:pPr>
        <w:spacing w:before="92"/>
        <w:ind w:right="4234"/>
        <w:rPr>
          <w:noProof/>
        </w:rPr>
      </w:pPr>
      <w:r w:rsidRPr="008C28E7">
        <w:rPr>
          <w:noProof/>
        </w:rPr>
        <w:t xml:space="preserve">    </w:t>
      </w:r>
      <w:r w:rsidR="002A196B" w:rsidRPr="008C28E7">
        <w:rPr>
          <w:noProof/>
        </w:rPr>
        <w:t xml:space="preserve">  </w:t>
      </w:r>
    </w:p>
    <w:p w14:paraId="57F844D6" w14:textId="0840C4BF" w:rsidR="00F32732" w:rsidRPr="008C28E7" w:rsidRDefault="00F32732" w:rsidP="00404E5B">
      <w:pPr>
        <w:spacing w:before="92"/>
        <w:ind w:right="4234"/>
        <w:rPr>
          <w:noProof/>
        </w:rPr>
      </w:pPr>
    </w:p>
    <w:p w14:paraId="3C6F74B3" w14:textId="77777777" w:rsidR="00F32732" w:rsidRPr="008C28E7" w:rsidRDefault="00F32732" w:rsidP="00404E5B">
      <w:pPr>
        <w:spacing w:before="92"/>
        <w:ind w:right="4234"/>
        <w:rPr>
          <w:noProof/>
        </w:rPr>
      </w:pPr>
    </w:p>
    <w:p w14:paraId="0C131B18" w14:textId="77777777" w:rsidR="006A0C00" w:rsidRDefault="006A0C00" w:rsidP="008F5080">
      <w:pPr>
        <w:spacing w:before="120" w:after="120"/>
        <w:ind w:right="4234"/>
        <w:rPr>
          <w:b/>
          <w:bCs/>
          <w:color w:val="BF5A14"/>
          <w:u w:val="single"/>
        </w:rPr>
      </w:pPr>
    </w:p>
    <w:p w14:paraId="6DCB4391" w14:textId="533DFCAB" w:rsidR="00AE3E37" w:rsidRPr="008C28E7" w:rsidRDefault="00A9710C" w:rsidP="008F5080">
      <w:pPr>
        <w:spacing w:before="120" w:after="120"/>
        <w:ind w:right="4234"/>
        <w:rPr>
          <w:b/>
          <w:bCs/>
          <w:noProof/>
          <w:u w:val="single"/>
        </w:rPr>
      </w:pPr>
      <w:r w:rsidRPr="008C28E7">
        <w:rPr>
          <w:b/>
          <w:bCs/>
          <w:color w:val="BF5A14"/>
          <w:u w:val="single"/>
        </w:rPr>
        <w:t>Biography</w:t>
      </w:r>
      <w:r w:rsidR="00404E5B" w:rsidRPr="008C28E7">
        <w:rPr>
          <w:b/>
          <w:bCs/>
          <w:color w:val="BF5A14"/>
          <w:u w:val="single"/>
        </w:rPr>
        <w:t xml:space="preserve"> (150 word</w:t>
      </w:r>
      <w:r w:rsidR="00F32732" w:rsidRPr="008C28E7">
        <w:rPr>
          <w:b/>
          <w:bCs/>
          <w:color w:val="BF5A14"/>
          <w:u w:val="single"/>
        </w:rPr>
        <w:t>s</w:t>
      </w:r>
      <w:r w:rsidR="00404E5B" w:rsidRPr="008C28E7">
        <w:rPr>
          <w:b/>
          <w:bCs/>
          <w:color w:val="BF5A14"/>
          <w:u w:val="single"/>
        </w:rPr>
        <w:t xml:space="preserve"> limit)</w:t>
      </w:r>
    </w:p>
    <w:p w14:paraId="7A7F4921" w14:textId="77777777" w:rsidR="00F32732" w:rsidRPr="008C28E7" w:rsidRDefault="00F32732" w:rsidP="00F32732">
      <w:pPr>
        <w:jc w:val="both"/>
        <w:rPr>
          <w:rFonts w:cs="Times New Roman"/>
          <w:sz w:val="20"/>
          <w:szCs w:val="20"/>
        </w:rPr>
      </w:pPr>
      <w:r w:rsidRPr="008C28E7">
        <w:rPr>
          <w:rFonts w:cs="Times New Roman"/>
          <w:sz w:val="20"/>
          <w:szCs w:val="20"/>
        </w:rPr>
        <w:t xml:space="preserve">Mr. Satyajit Kundu studied Bachelor of Science in Nutrition and Food Science at Patuakhali Science and Technology University, Bangladesh, and also completed his MS in Biochemistry and Food Analysis in 2019 from the same university. He then joined the research group of Lina Wang at the School of Public Health, Southeast University, China. Currently, he is doing Master of Public health (MPH) in China. He has published more than 15 research articles in SCI(E) journals and also several articles in SCOPUS indexed journals. </w:t>
      </w:r>
    </w:p>
    <w:p w14:paraId="09CBB340" w14:textId="04032A5F" w:rsidR="00247F7E" w:rsidRPr="008C28E7" w:rsidRDefault="00A9710C" w:rsidP="00F32732">
      <w:pPr>
        <w:spacing w:before="62"/>
        <w:ind w:right="4235"/>
        <w:rPr>
          <w:szCs w:val="36"/>
        </w:rPr>
      </w:pPr>
      <w:r w:rsidRPr="008C28E7">
        <w:rPr>
          <w:szCs w:val="36"/>
        </w:rPr>
        <w:t xml:space="preserve">Email: </w:t>
      </w:r>
      <w:hyperlink r:id="rId15" w:history="1">
        <w:r w:rsidR="00247F7E" w:rsidRPr="008C28E7">
          <w:rPr>
            <w:rStyle w:val="Hyperlink"/>
            <w:szCs w:val="36"/>
          </w:rPr>
          <w:t>satyajit@seu.edu.cn</w:t>
        </w:r>
      </w:hyperlink>
      <w:r w:rsidR="00D8736A" w:rsidRPr="008C28E7">
        <w:rPr>
          <w:szCs w:val="36"/>
        </w:rPr>
        <w:t xml:space="preserve">, </w:t>
      </w:r>
      <w:hyperlink r:id="rId16" w:history="1">
        <w:r w:rsidR="00D8736A" w:rsidRPr="008C28E7">
          <w:rPr>
            <w:rStyle w:val="Hyperlink"/>
            <w:szCs w:val="36"/>
          </w:rPr>
          <w:t>satyajitnfs@gmail.com</w:t>
        </w:r>
      </w:hyperlink>
    </w:p>
    <w:p w14:paraId="16735629" w14:textId="78D7C6E1" w:rsidR="00AE3E37" w:rsidRPr="008C28E7" w:rsidRDefault="00292ED9" w:rsidP="00247F7E">
      <w:pPr>
        <w:pStyle w:val="BodyText"/>
        <w:spacing w:before="2"/>
        <w:rPr>
          <w:sz w:val="19"/>
        </w:rPr>
      </w:pPr>
      <w:r w:rsidRPr="008C28E7">
        <w:rPr>
          <w:noProof/>
          <w:lang w:val="en-IN" w:eastAsia="en-IN"/>
        </w:rPr>
        <mc:AlternateContent>
          <mc:Choice Requires="wps">
            <w:drawing>
              <wp:anchor distT="0" distB="0" distL="0" distR="0" simplePos="0" relativeHeight="251655680" behindDoc="0" locked="0" layoutInCell="1" allowOverlap="1" wp14:anchorId="7FD49133" wp14:editId="18D33C4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E2DF8" id="Line 3" o:spid="_x0000_s1026" style="position:absolute;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1BD0E80" w14:textId="77777777" w:rsidR="00AE3E37" w:rsidRPr="008C28E7" w:rsidRDefault="00AE3E37">
      <w:pPr>
        <w:rPr>
          <w:sz w:val="24"/>
        </w:rPr>
        <w:sectPr w:rsidR="00AE3E37" w:rsidRPr="008C28E7">
          <w:type w:val="continuous"/>
          <w:pgSz w:w="11910" w:h="16840"/>
          <w:pgMar w:top="1740" w:right="600" w:bottom="840" w:left="620" w:header="720" w:footer="720" w:gutter="0"/>
          <w:cols w:space="720"/>
        </w:sectPr>
      </w:pPr>
    </w:p>
    <w:p w14:paraId="2CE239C4" w14:textId="77777777" w:rsidR="00AE3E37" w:rsidRPr="008C28E7" w:rsidRDefault="00AE3E37">
      <w:pPr>
        <w:pStyle w:val="BodyText"/>
        <w:spacing w:before="3"/>
        <w:rPr>
          <w:sz w:val="26"/>
        </w:rPr>
      </w:pPr>
    </w:p>
    <w:sectPr w:rsidR="00AE3E37" w:rsidRPr="008C28E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CE1A7" w14:textId="77777777" w:rsidR="00320430" w:rsidRDefault="00320430">
      <w:r>
        <w:separator/>
      </w:r>
    </w:p>
  </w:endnote>
  <w:endnote w:type="continuationSeparator" w:id="0">
    <w:p w14:paraId="795F35C4" w14:textId="77777777" w:rsidR="00320430" w:rsidRDefault="00320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imesNewRomanPS-ItalicMT">
    <w:altName w:val="Times New Roman"/>
    <w:panose1 w:val="00000000000000000000"/>
    <w:charset w:val="00"/>
    <w:family w:val="auto"/>
    <w:notTrueType/>
    <w:pitch w:val="default"/>
    <w:sig w:usb0="00000003" w:usb1="00000000" w:usb2="00000000" w:usb3="00000000" w:csb0="00000001"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yriadPro-SemiCn">
    <w:altName w:val="MS Gothic"/>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EB48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61824" behindDoc="1" locked="0" layoutInCell="1" allowOverlap="1" wp14:anchorId="49AC9256" wp14:editId="7C76D38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27456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9DF8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C9256"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1627456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9DF8D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3088" behindDoc="1" locked="0" layoutInCell="1" allowOverlap="1" wp14:anchorId="759D6CD4" wp14:editId="3365073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86AF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AD071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D6CD4" id="Text Box 2" o:spid="_x0000_s1029" type="#_x0000_t202" style="position:absolute;margin-left:252.1pt;margin-top:799.05pt;width:91.9pt;height:24.9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1786AF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3AD071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84352" behindDoc="1" locked="0" layoutInCell="1" allowOverlap="1" wp14:anchorId="45D288BF" wp14:editId="38D4D0F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023E7"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5D5E18B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D288BF" id="Text Box 1" o:spid="_x0000_s1030" type="#_x0000_t202" style="position:absolute;margin-left:468.9pt;margin-top:798.8pt;width:91.4pt;height:26.05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1B023E7"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5D5E18B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D8933" w14:textId="77777777" w:rsidR="00320430" w:rsidRDefault="00320430">
      <w:r>
        <w:separator/>
      </w:r>
    </w:p>
  </w:footnote>
  <w:footnote w:type="continuationSeparator" w:id="0">
    <w:p w14:paraId="53A7BA1B" w14:textId="77777777" w:rsidR="00320430" w:rsidRDefault="00320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BBAD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39296" behindDoc="1" locked="0" layoutInCell="1" allowOverlap="1" wp14:anchorId="1CE5C9B4" wp14:editId="3677BCB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617BCE"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E5C9B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77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7617BCE"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0560" behindDoc="1" locked="0" layoutInCell="1" allowOverlap="1" wp14:anchorId="2A903092" wp14:editId="78A4145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8F5B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A7F5F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03092" id="Text Box 4" o:spid="_x0000_s1027" type="#_x0000_t202" style="position:absolute;margin-left:35pt;margin-top:48.3pt;width:515.95pt;height:40.1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5168F5B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A7F5F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A1D744F"/>
    <w:multiLevelType w:val="hybridMultilevel"/>
    <w:tmpl w:val="56928566"/>
    <w:lvl w:ilvl="0" w:tplc="085E6DCE">
      <w:start w:val="1"/>
      <w:numFmt w:val="decimal"/>
      <w:lvlText w:val="%1."/>
      <w:lvlJc w:val="left"/>
      <w:pPr>
        <w:ind w:left="540" w:hanging="360"/>
      </w:pPr>
      <w:rPr>
        <w:rFonts w:ascii="Times New Roman" w:hAnsi="Times New Roman" w:cs="Times New Roman" w:hint="default"/>
        <w:color w:val="auto"/>
        <w:sz w:val="22"/>
        <w:szCs w:val="22"/>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0NDI1MzA2tTC0NLVQ0lEKTi0uzszPAykwrAUA27gVfCwAAAA="/>
  </w:docVars>
  <w:rsids>
    <w:rsidRoot w:val="00AE3E37"/>
    <w:rsid w:val="000C2EC4"/>
    <w:rsid w:val="000E2911"/>
    <w:rsid w:val="001263DF"/>
    <w:rsid w:val="001F00DD"/>
    <w:rsid w:val="00246C62"/>
    <w:rsid w:val="00247F7E"/>
    <w:rsid w:val="00272C9E"/>
    <w:rsid w:val="00292ED9"/>
    <w:rsid w:val="002A196B"/>
    <w:rsid w:val="002A4AFF"/>
    <w:rsid w:val="002B2804"/>
    <w:rsid w:val="003015A5"/>
    <w:rsid w:val="00320430"/>
    <w:rsid w:val="00375250"/>
    <w:rsid w:val="003F272B"/>
    <w:rsid w:val="00404E5B"/>
    <w:rsid w:val="00414F7B"/>
    <w:rsid w:val="004355DC"/>
    <w:rsid w:val="004749B4"/>
    <w:rsid w:val="00494130"/>
    <w:rsid w:val="004D7CE3"/>
    <w:rsid w:val="004F3523"/>
    <w:rsid w:val="00517FA2"/>
    <w:rsid w:val="00544732"/>
    <w:rsid w:val="005973B9"/>
    <w:rsid w:val="005B3A56"/>
    <w:rsid w:val="005C7459"/>
    <w:rsid w:val="006060CE"/>
    <w:rsid w:val="0063497F"/>
    <w:rsid w:val="00692C25"/>
    <w:rsid w:val="006A0C00"/>
    <w:rsid w:val="006C1286"/>
    <w:rsid w:val="006E3812"/>
    <w:rsid w:val="00731BDF"/>
    <w:rsid w:val="00741CCE"/>
    <w:rsid w:val="007E3073"/>
    <w:rsid w:val="00873DF0"/>
    <w:rsid w:val="008756E6"/>
    <w:rsid w:val="008A6390"/>
    <w:rsid w:val="008C061D"/>
    <w:rsid w:val="008C28E7"/>
    <w:rsid w:val="008C30DC"/>
    <w:rsid w:val="008E6644"/>
    <w:rsid w:val="008F5080"/>
    <w:rsid w:val="00905871"/>
    <w:rsid w:val="00913F81"/>
    <w:rsid w:val="00916EA2"/>
    <w:rsid w:val="00921782"/>
    <w:rsid w:val="009A4A7B"/>
    <w:rsid w:val="009B2D44"/>
    <w:rsid w:val="009D1177"/>
    <w:rsid w:val="009D7C96"/>
    <w:rsid w:val="00A07E82"/>
    <w:rsid w:val="00A50D31"/>
    <w:rsid w:val="00A9710C"/>
    <w:rsid w:val="00AE3E37"/>
    <w:rsid w:val="00B21A57"/>
    <w:rsid w:val="00C12922"/>
    <w:rsid w:val="00C33602"/>
    <w:rsid w:val="00CD6F55"/>
    <w:rsid w:val="00D243B6"/>
    <w:rsid w:val="00D47D04"/>
    <w:rsid w:val="00D56139"/>
    <w:rsid w:val="00D7673C"/>
    <w:rsid w:val="00D8736A"/>
    <w:rsid w:val="00DE1AF1"/>
    <w:rsid w:val="00DE3104"/>
    <w:rsid w:val="00DF6247"/>
    <w:rsid w:val="00E3690A"/>
    <w:rsid w:val="00E903AD"/>
    <w:rsid w:val="00ED097B"/>
    <w:rsid w:val="00F32732"/>
    <w:rsid w:val="00F72EEA"/>
    <w:rsid w:val="00F84CAE"/>
    <w:rsid w:val="00FB79A7"/>
    <w:rsid w:val="00FC5533"/>
    <w:rsid w:val="00FD57AE"/>
    <w:rsid w:val="00FE745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EEC5"/>
  <w15:docId w15:val="{53004124-91DB-B849-90EE-C96E17CB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47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doi.org/10.1080/09603123.2020.180240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doi.org/10.1080/07448481.2020.1851695"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atyajitnfs@gmail.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heliyon.2021.e06401" TargetMode="External"/><Relationship Id="rId5" Type="http://schemas.openxmlformats.org/officeDocument/2006/relationships/footnotes" Target="footnotes.xml"/><Relationship Id="rId15" Type="http://schemas.openxmlformats.org/officeDocument/2006/relationships/hyperlink" Target="mailto:satyajit@seu.edu.cn" TargetMode="External"/><Relationship Id="rId10" Type="http://schemas.openxmlformats.org/officeDocument/2006/relationships/hyperlink" Target="https://doi.org/10.1017/S1368980020005042"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doi.org/10.1007/s10389-021-0163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717</Words>
  <Characters>4091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Satyajit</cp:lastModifiedBy>
  <cp:revision>65</cp:revision>
  <dcterms:created xsi:type="dcterms:W3CDTF">2021-03-05T18:16:00Z</dcterms:created>
  <dcterms:modified xsi:type="dcterms:W3CDTF">2021-11-23T04:12:00Z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