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jc w:val="right"/>
        <w:rPr>
          <w:sz w:val="22"/>
          <w:szCs w:val="22"/>
          <w:lang w:val="en-GB"/>
        </w:rPr>
      </w:pPr>
      <w:r>
        <w:rPr>
          <w:noProof/>
          <w:sz w:val="22"/>
          <w:szCs w:val="22"/>
          <w:lang w:val="en-US" w:eastAsia="en-US"/>
        </w:rPr>
        <w:drawing>
          <wp:inline distL="0" distT="0" distB="0" distR="0">
            <wp:extent cx="1419225" cy="1390650"/>
            <wp:effectExtent l="19050" t="0" r="9525" b="0"/>
            <wp:docPr id="1026" name="Picture 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419225" cy="139065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  <w:lang w:val="en-US" w:eastAsia="en-US"/>
        </w:rPr>
        <w:t xml:space="preserve"> </w:t>
      </w:r>
    </w:p>
    <w:p>
      <w:pPr>
        <w:pStyle w:val="style0"/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>
        <w:rPr>
          <w:b/>
          <w:lang w:val="en-GB"/>
        </w:rPr>
        <w:t xml:space="preserve">Effects of Probiotics on </w:t>
      </w:r>
      <w:r>
        <w:rPr>
          <w:b/>
        </w:rPr>
        <w:t>Growth and Nutrient Utilization of Yearling Calves.</w:t>
      </w:r>
    </w:p>
    <w:p>
      <w:pPr>
        <w:pStyle w:val="style0"/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>
        <w:rPr>
          <w:rFonts w:eastAsia="MS PGothic" w:hAnsi="Arial"/>
          <w:color w:val="000000"/>
        </w:rPr>
        <w:t xml:space="preserve">Name: </w:t>
      </w:r>
      <w:r>
        <w:rPr>
          <w:rFonts w:eastAsia="MS PGothic" w:hAnsi="Arial"/>
          <w:color w:val="000000"/>
        </w:rPr>
        <w:t>Dr. Bukola. A.Ayilara.  Prof. Chrys F.I Onwuka.</w:t>
      </w:r>
    </w:p>
    <w:p>
      <w:pPr>
        <w:pStyle w:val="style0"/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 xml:space="preserve">Department of Animal Nutrition, </w:t>
      </w:r>
      <w:r>
        <w:rPr>
          <w:rFonts w:eastAsia="MS PGothic" w:hAnsi="Arial"/>
          <w:color w:val="000000"/>
        </w:rPr>
        <w:t>Federal University of Agriculture, Abeokuta, Nigeria.</w:t>
      </w:r>
    </w:p>
    <w:bookmarkStart w:id="0" w:name="_GoBack"/>
    <w:bookmarkEnd w:id="0"/>
    <w:p>
      <w:pPr>
        <w:pStyle w:val="style0"/>
        <w:jc w:val="center"/>
        <w:rPr>
          <w:rFonts w:eastAsia="Batang"/>
          <w:color w:val="0000ff"/>
          <w:sz w:val="36"/>
          <w:szCs w:val="36"/>
        </w:rPr>
      </w:pPr>
    </w:p>
    <w:p>
      <w:pPr>
        <w:pStyle w:val="style0"/>
        <w:autoSpaceDE w:val="false"/>
        <w:autoSpaceDN w:val="false"/>
        <w:adjustRightInd w:val="false"/>
        <w:spacing w:before="200"/>
        <w:ind w:right="-446"/>
        <w:jc w:val="both"/>
        <w:rPr>
          <w:lang w:val="en-GB"/>
        </w:rPr>
      </w:pPr>
      <w:r>
        <w:rPr>
          <w:bCs/>
          <w:lang w:val="en-GB"/>
        </w:rPr>
        <w:t xml:space="preserve">The current study was undertaken to evaluate the </w:t>
      </w:r>
      <w:r>
        <w:t>performance of yearling calves suppl</w:t>
      </w:r>
      <w:r>
        <w:t xml:space="preserve">emented with varying levels of </w:t>
      </w:r>
      <w:r>
        <w:rPr>
          <w:i/>
        </w:rPr>
        <w:t>Saccharomyces cerevisiae</w:t>
      </w:r>
      <w:r>
        <w:t xml:space="preserve"> and </w:t>
      </w:r>
      <w:r>
        <w:rPr>
          <w:i/>
        </w:rPr>
        <w:t>Bacillus subtilis</w:t>
      </w:r>
      <w:r>
        <w:t>.</w:t>
      </w:r>
      <w:r>
        <w:rPr>
          <w:b/>
        </w:rPr>
        <w:t xml:space="preserve"> </w:t>
      </w:r>
      <w:r>
        <w:t>T</w:t>
      </w:r>
      <w:r>
        <w:rPr>
          <w:bCs/>
          <w:lang w:val="en-GB"/>
        </w:rPr>
        <w:t>he Experiment was carried out at the Cattle Unit of the Teaching and Research Farm Directorate of the Federal University of Agriculture, Abeokuta in Ogun State, Nigeria.</w:t>
      </w:r>
      <w:r>
        <w:rPr>
          <w:bCs/>
          <w:lang w:val="en-GB"/>
        </w:rPr>
        <w:t xml:space="preserve"> The laboratory works were carried out at the Institute Of Agricultural Research And Training, Ibadan, College of Veterinary Medicine and Department of Animal Nutrition, Federal University of Agriculture, Abeokuta. </w:t>
      </w:r>
      <w:r>
        <w:rPr>
          <w:lang w:val="en-GB"/>
        </w:rPr>
        <w:t xml:space="preserve">A total of </w:t>
      </w:r>
      <w:r>
        <w:rPr>
          <w:lang w:val="en-GB"/>
        </w:rPr>
        <w:t>twenty four</w:t>
      </w:r>
      <w:r>
        <w:rPr>
          <w:lang w:val="en-GB"/>
        </w:rPr>
        <w:t xml:space="preserve"> yearling calves were assigned to fou</w:t>
      </w:r>
      <w:r>
        <w:rPr>
          <w:lang w:val="en-GB"/>
        </w:rPr>
        <w:t>r groups of treatments with three</w:t>
      </w:r>
      <w:r>
        <w:rPr>
          <w:lang w:val="en-GB"/>
        </w:rPr>
        <w:t xml:space="preserve"> animals per treatment. The animals were allotted to </w:t>
      </w:r>
      <w:r>
        <w:rPr>
          <w:lang w:val="en-GB"/>
        </w:rPr>
        <w:t>eight</w:t>
      </w:r>
      <w:r>
        <w:rPr>
          <w:lang w:val="en-GB"/>
        </w:rPr>
        <w:t xml:space="preserve"> dietary treatments </w:t>
      </w:r>
      <w:r>
        <w:rPr>
          <w:lang w:val="en-GB"/>
        </w:rPr>
        <w:t xml:space="preserve">containing </w:t>
      </w:r>
      <w:r>
        <w:rPr>
          <w:i/>
          <w:lang w:val="en-GB"/>
        </w:rPr>
        <w:t xml:space="preserve">B. </w:t>
      </w:r>
      <w:r>
        <w:rPr>
          <w:i/>
          <w:lang w:val="en-GB"/>
        </w:rPr>
        <w:t>subtilis</w:t>
      </w:r>
      <w:r>
        <w:rPr>
          <w:lang w:val="en-GB"/>
        </w:rPr>
        <w:t xml:space="preserve"> and </w:t>
      </w:r>
      <w:r>
        <w:rPr>
          <w:i/>
          <w:iCs/>
          <w:lang w:val="en-GB"/>
        </w:rPr>
        <w:t>S</w:t>
      </w:r>
      <w:r>
        <w:rPr>
          <w:i/>
          <w:iCs/>
          <w:lang w:val="en-GB"/>
        </w:rPr>
        <w:t xml:space="preserve">. </w:t>
      </w:r>
      <w:r>
        <w:rPr>
          <w:i/>
          <w:iCs/>
          <w:lang w:val="en-GB"/>
        </w:rPr>
        <w:t xml:space="preserve">cerevisiae </w:t>
      </w:r>
      <w:r>
        <w:rPr>
          <w:iCs/>
          <w:lang w:val="en-GB"/>
        </w:rPr>
        <w:t xml:space="preserve">at different inclusion levels </w:t>
      </w:r>
      <w:r>
        <w:rPr>
          <w:iCs/>
          <w:lang w:val="en-GB"/>
        </w:rPr>
        <w:t xml:space="preserve">with two control diets in a </w:t>
      </w:r>
      <w:r>
        <w:rPr>
          <w:bCs/>
          <w:lang w:val="en-GB"/>
        </w:rPr>
        <w:t xml:space="preserve">2 x 4 factorial </w:t>
      </w:r>
      <w:r>
        <w:rPr>
          <w:lang w:val="en-GB"/>
        </w:rPr>
        <w:t>design and</w:t>
      </w:r>
      <w:r>
        <w:rPr>
          <w:lang w:val="en-GB"/>
        </w:rPr>
        <w:t xml:space="preserve"> </w:t>
      </w:r>
      <w:r>
        <w:rPr>
          <w:i/>
          <w:lang w:val="en-GB"/>
        </w:rPr>
        <w:t xml:space="preserve">Panicum maximum </w:t>
      </w:r>
      <w:r>
        <w:rPr>
          <w:lang w:val="en-GB"/>
        </w:rPr>
        <w:t xml:space="preserve">fed as the basal diet. </w:t>
      </w:r>
      <w:r>
        <w:rPr>
          <w:lang w:val="en-GB"/>
        </w:rPr>
        <w:t>Final weight, total weight gain, daily weight gain, concentrate intake, total feed intake, daily feed intake, feed conversion ratio</w:t>
      </w:r>
      <w:r>
        <w:rPr>
          <w:lang w:val="en-GB"/>
        </w:rPr>
        <w:t xml:space="preserve"> and intake per bod</w:t>
      </w:r>
      <w:r>
        <w:rPr>
          <w:lang w:val="en-GB"/>
        </w:rPr>
        <w:t>y weight</w:t>
      </w:r>
      <w:r>
        <w:rPr>
          <w:lang w:val="en-GB"/>
        </w:rPr>
        <w:t xml:space="preserve"> were significantly</w:t>
      </w:r>
      <w:r>
        <w:rPr>
          <w:lang w:val="en-GB"/>
        </w:rPr>
        <w:t xml:space="preserve"> (P&lt;0.05)</w:t>
      </w:r>
      <w:r>
        <w:rPr>
          <w:lang w:val="en-GB"/>
        </w:rPr>
        <w:t xml:space="preserve"> influenced by both the probiotic</w:t>
      </w:r>
      <w:r>
        <w:rPr>
          <w:lang w:val="en-GB"/>
        </w:rPr>
        <w:t>s</w:t>
      </w:r>
      <w:r>
        <w:rPr>
          <w:lang w:val="en-GB"/>
        </w:rPr>
        <w:t xml:space="preserve"> and the levels of </w:t>
      </w:r>
      <w:r>
        <w:rPr>
          <w:lang w:val="en-GB"/>
        </w:rPr>
        <w:t xml:space="preserve">inclusion. </w:t>
      </w:r>
      <w:r>
        <w:rPr>
          <w:i/>
        </w:rPr>
        <w:t>S. cerevisiae</w:t>
      </w:r>
      <w:r>
        <w:rPr>
          <w:lang w:val="en-GB"/>
        </w:rPr>
        <w:t xml:space="preserve"> supplementation</w:t>
      </w:r>
      <w:r>
        <w:rPr>
          <w:lang w:val="en-GB"/>
        </w:rPr>
        <w:t xml:space="preserve"> had the higher significant (p&lt;0.05) values in </w:t>
      </w:r>
      <w:r>
        <w:rPr>
          <w:lang w:val="en-GB"/>
        </w:rPr>
        <w:t>the parameters measured</w:t>
      </w:r>
      <w:r>
        <w:rPr>
          <w:lang w:val="en-GB"/>
        </w:rPr>
        <w:t xml:space="preserve"> while </w:t>
      </w:r>
      <w:r>
        <w:rPr>
          <w:i/>
          <w:lang w:val="en-GB"/>
        </w:rPr>
        <w:t xml:space="preserve">B. </w:t>
      </w:r>
      <w:r>
        <w:rPr>
          <w:i/>
          <w:lang w:val="en-GB"/>
        </w:rPr>
        <w:t>subtilis</w:t>
      </w:r>
      <w:r>
        <w:rPr>
          <w:lang w:val="en-GB"/>
        </w:rPr>
        <w:t xml:space="preserve"> supplementation had lower values</w:t>
      </w:r>
      <w:r>
        <w:rPr>
          <w:lang w:val="en-GB"/>
        </w:rPr>
        <w:t xml:space="preserve">. </w:t>
      </w:r>
      <w:r>
        <w:rPr>
          <w:lang w:val="en-GB"/>
        </w:rPr>
        <w:t xml:space="preserve">On the other hand, </w:t>
      </w:r>
      <w:r>
        <w:rPr>
          <w:i/>
          <w:lang w:val="en-GB"/>
        </w:rPr>
        <w:t xml:space="preserve">B. subtilis </w:t>
      </w:r>
      <w:r>
        <w:rPr>
          <w:lang w:val="en-GB"/>
        </w:rPr>
        <w:t>supplementation had higher significant values i</w:t>
      </w:r>
      <w:r>
        <w:rPr>
          <w:lang w:val="en-GB"/>
        </w:rPr>
        <w:t>n feed conversion ratio</w:t>
      </w:r>
      <w:r>
        <w:rPr>
          <w:lang w:val="en-GB"/>
        </w:rPr>
        <w:t xml:space="preserve"> </w:t>
      </w:r>
      <w:r>
        <w:rPr>
          <w:lang w:val="en-GB"/>
        </w:rPr>
        <w:t xml:space="preserve">while </w:t>
      </w:r>
      <w:r>
        <w:rPr>
          <w:i/>
          <w:lang w:val="en-GB"/>
        </w:rPr>
        <w:t>S. cerevisiae</w:t>
      </w:r>
      <w:r>
        <w:rPr>
          <w:lang w:val="en-GB"/>
        </w:rPr>
        <w:t xml:space="preserve"> supple</w:t>
      </w:r>
      <w:r>
        <w:rPr>
          <w:lang w:val="en-GB"/>
        </w:rPr>
        <w:t xml:space="preserve">mentation had lower values. </w:t>
      </w:r>
      <w:r>
        <w:rPr>
          <w:lang w:val="en-GB"/>
        </w:rPr>
        <w:t>From the</w:t>
      </w:r>
      <w:r>
        <w:rPr>
          <w:lang w:val="en-GB"/>
        </w:rPr>
        <w:t xml:space="preserve"> study</w:t>
      </w:r>
      <w:r>
        <w:rPr>
          <w:lang w:val="en-GB"/>
        </w:rPr>
        <w:t>,</w:t>
      </w:r>
      <w:r>
        <w:rPr>
          <w:lang w:val="en-GB"/>
        </w:rPr>
        <w:t xml:space="preserve"> it </w:t>
      </w:r>
      <w:r>
        <w:rPr>
          <w:lang w:val="en-GB"/>
        </w:rPr>
        <w:t>was</w:t>
      </w:r>
      <w:r>
        <w:rPr>
          <w:lang w:val="en-GB"/>
        </w:rPr>
        <w:t xml:space="preserve"> shown that </w:t>
      </w:r>
      <w:r>
        <w:rPr>
          <w:lang w:val="en-GB"/>
        </w:rPr>
        <w:t>s</w:t>
      </w:r>
      <w:r>
        <w:rPr>
          <w:lang w:val="en-GB"/>
        </w:rPr>
        <w:t>uppleme</w:t>
      </w:r>
      <w:r>
        <w:rPr>
          <w:lang w:val="en-GB"/>
        </w:rPr>
        <w:t>ntation of the diets of</w:t>
      </w:r>
      <w:r>
        <w:rPr>
          <w:lang w:val="en-GB"/>
        </w:rPr>
        <w:t xml:space="preserve"> calves with </w:t>
      </w:r>
      <w:r>
        <w:rPr>
          <w:lang w:val="en-GB"/>
        </w:rPr>
        <w:t>probiotics</w:t>
      </w:r>
      <w:r>
        <w:rPr>
          <w:i/>
          <w:lang w:val="en-GB"/>
        </w:rPr>
        <w:t xml:space="preserve"> </w:t>
      </w:r>
      <w:r>
        <w:rPr>
          <w:lang w:val="en-GB"/>
        </w:rPr>
        <w:t>at various levels increas</w:t>
      </w:r>
      <w:r>
        <w:rPr>
          <w:lang w:val="en-GB"/>
        </w:rPr>
        <w:t xml:space="preserve">ed nutrient intake, </w:t>
      </w:r>
      <w:r>
        <w:rPr>
          <w:lang w:val="en-GB"/>
        </w:rPr>
        <w:t>dige</w:t>
      </w:r>
      <w:r>
        <w:rPr>
          <w:lang w:val="en-GB"/>
        </w:rPr>
        <w:t xml:space="preserve">stibility coefficients, </w:t>
      </w:r>
      <w:r>
        <w:rPr>
          <w:lang w:val="en-GB"/>
        </w:rPr>
        <w:t xml:space="preserve">feed intake, weight gain and nutrient digestibility </w:t>
      </w:r>
      <w:r>
        <w:rPr>
          <w:lang w:val="en-GB"/>
        </w:rPr>
        <w:t>of the calves.</w:t>
      </w:r>
    </w:p>
    <w:p>
      <w:pPr>
        <w:pStyle w:val="style0"/>
        <w:jc w:val="both"/>
        <w:rPr>
          <w:b/>
        </w:rPr>
      </w:pPr>
    </w:p>
    <w:p>
      <w:pPr>
        <w:pStyle w:val="style0"/>
        <w:jc w:val="both"/>
        <w:rPr>
          <w:b/>
        </w:rPr>
      </w:pPr>
      <w:r>
        <w:rPr>
          <w:b/>
        </w:rPr>
        <w:t>Biography</w:t>
      </w:r>
    </w:p>
    <w:p>
      <w:pPr>
        <w:pStyle w:val="style0"/>
        <w:jc w:val="both"/>
        <w:rPr>
          <w:rFonts w:eastAsia="MS PGothic"/>
          <w:b/>
          <w:color w:val="000000"/>
          <w:szCs w:val="32"/>
        </w:rPr>
      </w:pPr>
      <w:r>
        <w:t>Dr. Ayilara Bukola has completed her</w:t>
      </w:r>
      <w:r>
        <w:t xml:space="preserve"> PhD at the </w:t>
      </w:r>
      <w:r>
        <w:t>age of 3</w:t>
      </w:r>
      <w:r>
        <w:t>5</w:t>
      </w:r>
      <w:r>
        <w:t xml:space="preserve"> years from </w:t>
      </w:r>
      <w:r>
        <w:rPr>
          <w:rFonts w:eastAsia="MS PGothic" w:hAnsi="Arial"/>
          <w:color w:val="000000"/>
        </w:rPr>
        <w:t>Federal University of Agriculture, Abeokuta, Nigeria</w:t>
      </w:r>
      <w:r>
        <w:t xml:space="preserve"> and she is currently preparing for her postdoctoral studies abroad. Sh</w:t>
      </w:r>
      <w:r>
        <w:t xml:space="preserve">e is the director of </w:t>
      </w:r>
      <w:r>
        <w:t>RKCE Nigeria Limited</w:t>
      </w:r>
      <w:r>
        <w:t>, a</w:t>
      </w:r>
      <w:r>
        <w:t>n</w:t>
      </w:r>
      <w:r>
        <w:t xml:space="preserve"> </w:t>
      </w:r>
      <w:r>
        <w:t>agricultural and food processing organizat</w:t>
      </w:r>
      <w:r>
        <w:t>ion. Her works</w:t>
      </w:r>
      <w:r>
        <w:t xml:space="preserve"> has </w:t>
      </w:r>
      <w:r>
        <w:t>been published in proceedings of conferences.</w:t>
      </w:r>
      <w:r>
        <w:tab/>
      </w:r>
      <w:r>
        <w:br/>
      </w:r>
    </w:p>
    <w:p>
      <w:pPr>
        <w:pStyle w:val="style0"/>
        <w:autoSpaceDE w:val="false"/>
        <w:autoSpaceDN w:val="false"/>
        <w:adjustRightInd w:val="false"/>
        <w:rPr>
          <w:b/>
          <w:lang w:val="en-NZ"/>
        </w:rPr>
      </w:pPr>
      <w:r>
        <w:rPr>
          <w:b/>
          <w:lang w:val="en-NZ"/>
        </w:rPr>
        <w:t>Presenting author</w:t>
      </w:r>
      <w:r>
        <w:rPr>
          <w:b/>
          <w:lang w:val="en-NZ"/>
        </w:rPr>
        <w:t xml:space="preserve"> details</w:t>
      </w:r>
      <w:r>
        <w:rPr>
          <w:b/>
          <w:lang w:val="en-NZ"/>
        </w:rPr>
        <w:br/>
      </w:r>
      <w:r>
        <w:rPr>
          <w:lang w:val="en-NZ"/>
        </w:rPr>
        <w:t xml:space="preserve">Full name: </w:t>
      </w:r>
      <w:r>
        <w:rPr>
          <w:lang w:val="en-NZ"/>
        </w:rPr>
        <w:t>Ayilara, Bukola Abiodun</w:t>
      </w:r>
      <w:r>
        <w:rPr>
          <w:lang w:val="en-NZ"/>
        </w:rPr>
        <w:br/>
      </w:r>
      <w:r>
        <w:rPr>
          <w:lang w:val="en-NZ"/>
        </w:rPr>
        <w:t>Contact number:</w:t>
      </w:r>
      <w:r>
        <w:rPr>
          <w:lang w:val="en-NZ"/>
        </w:rPr>
        <w:t xml:space="preserve"> +2348034671047</w:t>
      </w:r>
      <w:r>
        <w:rPr>
          <w:lang w:val="en-NZ"/>
        </w:rPr>
        <w:br/>
      </w:r>
      <w:r>
        <w:rPr>
          <w:lang w:val="en-NZ"/>
        </w:rPr>
        <w:t>Twitter account:</w:t>
      </w:r>
      <w:r>
        <w:rPr>
          <w:lang w:val="en-NZ"/>
        </w:rPr>
        <w:br/>
      </w:r>
      <w:r>
        <w:rPr>
          <w:lang w:val="en-NZ"/>
        </w:rPr>
        <w:t>Linked In account:</w:t>
      </w:r>
      <w:r>
        <w:rPr>
          <w:lang w:val="en-NZ"/>
        </w:rPr>
        <w:t xml:space="preserve"> Adebayo Bukola</w:t>
      </w:r>
    </w:p>
    <w:p>
      <w:pPr>
        <w:pStyle w:val="style0"/>
        <w:autoSpaceDE w:val="false"/>
        <w:autoSpaceDN w:val="false"/>
        <w:adjustRightInd w:val="false"/>
        <w:rPr>
          <w:lang w:val="en-NZ"/>
        </w:rPr>
      </w:pPr>
      <w:r>
        <w:rPr>
          <w:lang w:val="en-NZ"/>
        </w:rPr>
        <w:t>Session</w:t>
      </w:r>
      <w:r>
        <w:rPr>
          <w:lang w:val="en-NZ"/>
        </w:rPr>
        <w:t>n</w:t>
      </w:r>
      <w:r>
        <w:rPr>
          <w:lang w:val="en-NZ"/>
        </w:rPr>
        <w:t>ame</w:t>
      </w:r>
      <w:r>
        <w:rPr>
          <w:lang w:val="en-NZ"/>
        </w:rPr>
        <w:t>/ number</w:t>
      </w:r>
      <w:r>
        <w:rPr>
          <w:lang w:val="en-NZ"/>
        </w:rPr>
        <w:t>:</w:t>
      </w:r>
      <w:r>
        <w:rPr>
          <w:lang w:val="en-NZ"/>
        </w:rPr>
        <w:br/>
      </w:r>
      <w:r>
        <w:rPr>
          <w:lang w:val="en-NZ"/>
        </w:rPr>
        <w:t>Category: (Oral presentation/ Poster</w:t>
      </w:r>
      <w:r>
        <w:rPr>
          <w:lang w:val="en-NZ"/>
        </w:rPr>
        <w:t xml:space="preserve"> presentation</w:t>
      </w:r>
      <w:r>
        <w:rPr>
          <w:lang w:val="en-NZ"/>
        </w:rPr>
        <w:t>)</w:t>
      </w:r>
      <w:r>
        <w:rPr>
          <w:lang w:val="en-NZ"/>
        </w:rPr>
        <w:br/>
      </w:r>
    </w:p>
    <w:p>
      <w:pPr>
        <w:pStyle w:val="style0"/>
        <w:autoSpaceDE w:val="false"/>
        <w:autoSpaceDN w:val="false"/>
        <w:adjustRightInd w:val="false"/>
        <w:rPr>
          <w:lang w:val="en-NZ"/>
        </w:rPr>
      </w:pPr>
    </w:p>
    <w:p>
      <w:pPr>
        <w:pStyle w:val="style0"/>
        <w:autoSpaceDE w:val="false"/>
        <w:autoSpaceDN w:val="false"/>
        <w:adjustRightInd w:val="false"/>
        <w:rPr>
          <w:lang w:val="en-NZ"/>
        </w:rPr>
      </w:pPr>
    </w:p>
    <w:p>
      <w:pPr>
        <w:pStyle w:val="style0"/>
        <w:autoSpaceDE w:val="false"/>
        <w:autoSpaceDN w:val="false"/>
        <w:adjustRightInd w:val="false"/>
        <w:rPr>
          <w:lang w:val="en-NZ"/>
        </w:rPr>
      </w:pPr>
    </w:p>
    <w:p>
      <w:pPr>
        <w:pStyle w:val="style0"/>
        <w:autoSpaceDE w:val="false"/>
        <w:autoSpaceDN w:val="false"/>
        <w:adjustRightInd w:val="false"/>
        <w:rPr>
          <w:lang w:val="en-NZ"/>
        </w:rPr>
      </w:pPr>
    </w:p>
    <w:p>
      <w:pPr>
        <w:pStyle w:val="style0"/>
        <w:autoSpaceDE w:val="false"/>
        <w:autoSpaceDN w:val="false"/>
        <w:adjustRightInd w:val="false"/>
        <w:rPr>
          <w:lang w:val="en-NZ"/>
        </w:rPr>
      </w:pPr>
    </w:p>
    <w:p>
      <w:pPr>
        <w:pStyle w:val="style0"/>
        <w:autoSpaceDE w:val="false"/>
        <w:autoSpaceDN w:val="false"/>
        <w:adjustRightInd w:val="false"/>
        <w:rPr>
          <w:lang w:val="en-NZ"/>
        </w:rPr>
      </w:pPr>
    </w:p>
    <w:p>
      <w:pPr>
        <w:pStyle w:val="style0"/>
        <w:jc w:val="both"/>
        <w:rPr>
          <w:lang w:val="en-NZ"/>
        </w:rPr>
      </w:pPr>
    </w:p>
    <w:sectPr>
      <w:headerReference w:type="even" r:id="rId3"/>
      <w:headerReference w:type="default" r:id="rId4"/>
      <w:footerReference w:type="even" r:id="rId5"/>
      <w:footerReference w:type="default" r:id="rId6"/>
      <w:headerReference w:type="first" r:id="rId7"/>
      <w:pgSz w:w="11906" w:h="16838" w:orient="portrait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  <w:font w:name="Gautami">
    <w:altName w:val="Gautami"/>
    <w:panose1 w:val="020b0502040002020203"/>
    <w:charset w:val="00"/>
    <w:family w:val="swiss"/>
    <w:pitch w:val="variable"/>
    <w:sig w:usb0="00200003" w:usb1="00000000" w:usb2="00000000" w:usb3="00000000" w:csb0="00000001" w:csb1="00000000"/>
  </w:font>
  <w:font w:name="Tahoma">
    <w:altName w:val="Tahoma"/>
    <w:panose1 w:val="020b0604030005040204"/>
    <w:charset w:val="00"/>
    <w:family w:val="swiss"/>
    <w:pitch w:val="variable"/>
    <w:sig w:usb0="E1002EFF" w:usb1="C000605B" w:usb2="00000029" w:usb3="00000000" w:csb0="000101FF" w:csb1="00000000"/>
  </w:font>
  <w:font w:name="MS PGothic">
    <w:altName w:val="MS PGothic"/>
    <w:panose1 w:val="020b0600070002080204"/>
    <w:charset w:val="80"/>
    <w:family w:val="swiss"/>
    <w:pitch w:val="variable"/>
    <w:sig w:usb0="E00002FF" w:usb1="6AC7FDFB" w:usb2="00000012" w:usb3="00000000" w:csb0="0002009F" w:csb1="00000000"/>
  </w:font>
  <w:font w:name="Arial">
    <w:altName w:val="Arial"/>
    <w:panose1 w:val="020b06040200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001010101"/>
    <w:charset w:val="81"/>
    <w:family w:val="roman"/>
    <w:pitch w:val="variable"/>
    <w:sig w:usb0="B00002AF" w:usb1="69D77CFB" w:usb2="00000030" w:usb3="00000000" w:csb0="0008009F" w:csb1="00000000"/>
  </w:font>
  <w:font w:name="等线 Light">
    <w:altName w:val="等线 Light"/>
    <w:panose1 w:val="00000000000000000000"/>
    <w:charset w:val="80"/>
    <w:family w:val="roman"/>
    <w:pitch w:val="default"/>
    <w:sig w:usb0="00000000" w:usb1="00000000" w:usb2="00000000" w:usb3="00000000" w:csb0="00000000" w:csb1="00000000"/>
  </w:font>
  <w:font w:name="Calibri Light">
    <w:altName w:val="Calibri Light"/>
    <w:panose1 w:val="020f0302020002030204"/>
    <w:charset w:val="00"/>
    <w:family w:val="swiss"/>
    <w:pitch w:val="variable"/>
    <w:sig w:usb0="A00002EF" w:usb1="4000207B" w:usb2="00000000" w:usb3="00000000" w:csb0="0000019F" w:csb1="00000000"/>
  </w:font>
  <w:font w:name="等线">
    <w:altName w:val="等线"/>
    <w:panose1 w:val="00000000000000000000"/>
    <w:charset w:val="80"/>
    <w:family w:val="roman"/>
    <w:pitch w:val="default"/>
    <w:sig w:usb0="00000000" w:usb1="00000000" w:usb2="00000000" w:usb3="00000000" w:csb0="00000000" w:csb1="00000000"/>
  </w:font>
  <w:font w:name="Calibri">
    <w:altName w:val="Calibri"/>
    <w:panose1 w:val="020f0502020002030204"/>
    <w:charset w:val="00"/>
    <w:family w:val="swiss"/>
    <w:pitch w:val="variable"/>
    <w:sig w:usb0="E00002FF" w:usb1="4000ACFF" w:usb2="00000001" w:usb3="00000000" w:csb0="0000019F" w:csb1="00000000"/>
  </w:font>
</w:fonts>
</file>

<file path=word/footer3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2"/>
      <w:rPr/>
    </w:pPr>
  </w:p>
</w:ftr>
</file>

<file path=word/footer4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2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rPr>
        <w:lang w:val="en-US"/>
      </w:rPr>
    </w:pPr>
  </w:p>
</w:hdr>
</file>

<file path=word/header2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rPr/>
    </w:pPr>
  </w:p>
</w:hdr>
</file>

<file path=word/header5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multilevel"/>
    <w:tmpl w:val="7EFC2A2A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removePersonalInformation/>
  <w:removeDateAndTime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1"/>
  <w:defaultTabStop w:val="708"/>
  <w:evenAndOddHeaders/>
  <w:drawingGridHorizontalSpacing w:val="120"/>
  <w:displayHorizontalDrawingGridEvery w:val="2"/>
  <w:characterSpacingControl w:val="doNotCompress"/>
  <w:compat/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Times New Roman" w:hAnsi="Times New Roman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/>
    <w:rPr>
      <w:sz w:val="24"/>
      <w:szCs w:val="24"/>
      <w:lang w:val="it-IT" w:eastAsia="it-IT"/>
    </w:rPr>
  </w:style>
  <w:style w:type="paragraph" w:styleId="style1">
    <w:name w:val="heading 1"/>
    <w:basedOn w:val="style0"/>
    <w:next w:val="style0"/>
    <w:link w:val="style4097"/>
    <w:qFormat/>
    <w:uiPriority w:val="9"/>
    <w:pPr>
      <w:keepNext/>
      <w:jc w:val="center"/>
      <w:outlineLvl w:val="0"/>
    </w:pPr>
    <w:rPr>
      <w:rFonts w:ascii="Cambria" w:cs="Gautami" w:hAnsi="Cambria"/>
      <w:b/>
      <w:bCs/>
      <w:kern w:val="32"/>
      <w:sz w:val="32"/>
      <w:szCs w:val="32"/>
      <w:lang w:bidi="te-IN"/>
    </w:rPr>
  </w:style>
  <w:style w:type="paragraph" w:styleId="style3">
    <w:name w:val="heading 3"/>
    <w:basedOn w:val="style0"/>
    <w:next w:val="style0"/>
    <w:link w:val="style4098"/>
    <w:qFormat/>
    <w:uiPriority w:val="9"/>
    <w:pPr>
      <w:keepNext/>
      <w:spacing w:before="240" w:after="60"/>
      <w:outlineLvl w:val="2"/>
    </w:pPr>
    <w:rPr>
      <w:rFonts w:ascii="Cambria" w:cs="Gautami" w:hAnsi="Cambria"/>
      <w:b/>
      <w:bCs/>
      <w:sz w:val="26"/>
      <w:szCs w:val="26"/>
      <w:lang w:bidi="te-IN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Heading 1 Char_17c97807-3d36-43eb-86dd-46830bc01792"/>
    <w:next w:val="style4097"/>
    <w:link w:val="style1"/>
    <w:uiPriority w:val="9"/>
    <w:rPr>
      <w:rFonts w:ascii="Cambria" w:cs="Times New Roman" w:eastAsia="Times New Roman" w:hAnsi="Cambria"/>
      <w:b/>
      <w:bCs/>
      <w:kern w:val="32"/>
      <w:sz w:val="32"/>
      <w:szCs w:val="32"/>
    </w:rPr>
  </w:style>
  <w:style w:type="character" w:customStyle="1" w:styleId="style4098">
    <w:name w:val="Heading 3 Char_ecb125c3-558c-443e-8d87-2a4a3ef9596b"/>
    <w:next w:val="style4098"/>
    <w:link w:val="style3"/>
    <w:uiPriority w:val="9"/>
    <w:rPr>
      <w:rFonts w:ascii="Cambria" w:cs="Times New Roman" w:eastAsia="Times New Roman" w:hAnsi="Cambria"/>
      <w:b/>
      <w:bCs/>
      <w:sz w:val="26"/>
      <w:szCs w:val="26"/>
    </w:rPr>
  </w:style>
  <w:style w:type="character" w:styleId="style85">
    <w:name w:val="Hyperlink"/>
    <w:next w:val="style85"/>
    <w:uiPriority w:val="99"/>
    <w:rPr>
      <w:rFonts w:cs="Times New Roman"/>
      <w:color w:val="0000ff"/>
      <w:u w:val="single"/>
    </w:rPr>
  </w:style>
  <w:style w:type="paragraph" w:styleId="style66">
    <w:name w:val="Body Text"/>
    <w:basedOn w:val="style0"/>
    <w:next w:val="style66"/>
    <w:link w:val="style4099"/>
    <w:uiPriority w:val="99"/>
    <w:pPr>
      <w:suppressAutoHyphens/>
      <w:jc w:val="center"/>
    </w:pPr>
    <w:rPr>
      <w:rFonts w:cs="Gautami"/>
      <w:lang w:bidi="te-IN"/>
    </w:rPr>
  </w:style>
  <w:style w:type="character" w:customStyle="1" w:styleId="style4099">
    <w:name w:val="Body Text Char"/>
    <w:next w:val="style4099"/>
    <w:link w:val="style66"/>
    <w:uiPriority w:val="99"/>
    <w:rPr>
      <w:sz w:val="24"/>
      <w:szCs w:val="24"/>
    </w:rPr>
  </w:style>
  <w:style w:type="character" w:styleId="style39">
    <w:name w:val="annotation reference"/>
    <w:next w:val="style39"/>
    <w:uiPriority w:val="99"/>
    <w:rPr>
      <w:rFonts w:cs="Times New Roman"/>
      <w:sz w:val="16"/>
      <w:szCs w:val="16"/>
    </w:rPr>
  </w:style>
  <w:style w:type="paragraph" w:styleId="style30">
    <w:name w:val="annotation text"/>
    <w:basedOn w:val="style0"/>
    <w:next w:val="style30"/>
    <w:link w:val="style4100"/>
    <w:uiPriority w:val="99"/>
    <w:pPr/>
    <w:rPr>
      <w:rFonts w:cs="Gautami"/>
      <w:sz w:val="20"/>
      <w:szCs w:val="20"/>
      <w:lang w:bidi="te-IN"/>
    </w:rPr>
  </w:style>
  <w:style w:type="character" w:customStyle="1" w:styleId="style4100">
    <w:name w:val="Comment Text Char"/>
    <w:next w:val="style4100"/>
    <w:link w:val="style30"/>
    <w:uiPriority w:val="99"/>
    <w:rPr>
      <w:sz w:val="20"/>
      <w:szCs w:val="20"/>
    </w:rPr>
  </w:style>
  <w:style w:type="paragraph" w:styleId="style106">
    <w:name w:val="annotation subject"/>
    <w:basedOn w:val="style30"/>
    <w:next w:val="style30"/>
    <w:link w:val="style4101"/>
    <w:uiPriority w:val="99"/>
    <w:pPr/>
    <w:rPr>
      <w:b/>
      <w:bCs/>
    </w:rPr>
  </w:style>
  <w:style w:type="character" w:customStyle="1" w:styleId="style4101">
    <w:name w:val="Comment Subject Char"/>
    <w:next w:val="style4101"/>
    <w:link w:val="style106"/>
    <w:uiPriority w:val="99"/>
    <w:rPr>
      <w:b/>
      <w:bCs/>
      <w:sz w:val="20"/>
      <w:szCs w:val="20"/>
    </w:rPr>
  </w:style>
  <w:style w:type="paragraph" w:styleId="style153">
    <w:name w:val="Balloon Text"/>
    <w:basedOn w:val="style0"/>
    <w:next w:val="style153"/>
    <w:link w:val="style4102"/>
    <w:uiPriority w:val="99"/>
    <w:pPr/>
    <w:rPr>
      <w:rFonts w:ascii="Tahoma" w:cs="Gautami" w:hAnsi="Tahoma"/>
      <w:sz w:val="16"/>
      <w:szCs w:val="16"/>
      <w:lang w:bidi="te-IN"/>
    </w:rPr>
  </w:style>
  <w:style w:type="character" w:customStyle="1" w:styleId="style4102">
    <w:name w:val="Balloon Text Char"/>
    <w:next w:val="style4102"/>
    <w:link w:val="style153"/>
    <w:uiPriority w:val="99"/>
    <w:rPr>
      <w:rFonts w:ascii="Tahoma" w:cs="Tahoma" w:hAnsi="Tahoma"/>
      <w:sz w:val="16"/>
      <w:szCs w:val="16"/>
    </w:rPr>
  </w:style>
  <w:style w:type="paragraph" w:styleId="style67">
    <w:name w:val="Body Text Indent"/>
    <w:basedOn w:val="style0"/>
    <w:next w:val="style67"/>
    <w:link w:val="style4103"/>
    <w:uiPriority w:val="99"/>
    <w:pPr>
      <w:spacing w:after="120"/>
      <w:ind w:left="283"/>
    </w:pPr>
    <w:rPr>
      <w:rFonts w:cs="Gautami"/>
      <w:lang w:bidi="te-IN"/>
    </w:rPr>
  </w:style>
  <w:style w:type="character" w:customStyle="1" w:styleId="style4103">
    <w:name w:val="Body Text Indent Char"/>
    <w:next w:val="style4103"/>
    <w:link w:val="style67"/>
    <w:uiPriority w:val="99"/>
    <w:rPr>
      <w:sz w:val="24"/>
      <w:szCs w:val="24"/>
    </w:rPr>
  </w:style>
  <w:style w:type="paragraph" w:styleId="style31">
    <w:name w:val="header"/>
    <w:basedOn w:val="style0"/>
    <w:next w:val="style31"/>
    <w:link w:val="style4104"/>
    <w:uiPriority w:val="99"/>
    <w:pPr>
      <w:tabs>
        <w:tab w:val="center" w:leader="none" w:pos="4819"/>
        <w:tab w:val="right" w:leader="none" w:pos="9638"/>
      </w:tabs>
    </w:pPr>
    <w:rPr>
      <w:rFonts w:cs="Gautami"/>
      <w:lang w:bidi="te-IN"/>
    </w:rPr>
  </w:style>
  <w:style w:type="character" w:customStyle="1" w:styleId="style4104">
    <w:name w:val="Header Char_f5d64d41-d793-4f9f-9aca-64ccbf41550e"/>
    <w:next w:val="style4104"/>
    <w:link w:val="style31"/>
    <w:uiPriority w:val="99"/>
    <w:rPr>
      <w:sz w:val="24"/>
      <w:szCs w:val="24"/>
    </w:rPr>
  </w:style>
  <w:style w:type="paragraph" w:styleId="style32">
    <w:name w:val="footer"/>
    <w:basedOn w:val="style0"/>
    <w:next w:val="style32"/>
    <w:link w:val="style4105"/>
    <w:uiPriority w:val="99"/>
    <w:pPr>
      <w:tabs>
        <w:tab w:val="center" w:leader="none" w:pos="4819"/>
        <w:tab w:val="right" w:leader="none" w:pos="9638"/>
      </w:tabs>
    </w:pPr>
    <w:rPr>
      <w:rFonts w:cs="Gautami"/>
      <w:lang w:bidi="te-IN"/>
    </w:rPr>
  </w:style>
  <w:style w:type="character" w:customStyle="1" w:styleId="style4105">
    <w:name w:val="Footer Char_0c0fb5fe-f46b-43a1-9468-095799fc2e1c"/>
    <w:next w:val="style4105"/>
    <w:link w:val="style32"/>
    <w:uiPriority w:val="99"/>
    <w:rPr>
      <w:sz w:val="24"/>
      <w:szCs w:val="24"/>
    </w:rPr>
  </w:style>
  <w:style w:type="paragraph" w:customStyle="1" w:styleId="style4106">
    <w:name w:val="x_msonormal"/>
    <w:basedOn w:val="style0"/>
    <w:next w:val="style4106"/>
    <w:pPr/>
  </w:style>
  <w:style w:type="paragraph" w:styleId="style94">
    <w:name w:val="Normal (Web)"/>
    <w:basedOn w:val="style0"/>
    <w:next w:val="style94"/>
    <w:pPr/>
  </w:style>
  <w:style w:type="paragraph" w:customStyle="1" w:styleId="style4107">
    <w:name w:val="xmsonormal"/>
    <w:basedOn w:val="style0"/>
    <w:next w:val="style4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11" Type="http://schemas.openxmlformats.org/officeDocument/2006/relationships/theme" Target="theme/theme1.xml"/><Relationship Id="rId10" Type="http://schemas.openxmlformats.org/officeDocument/2006/relationships/settings" Target="settings.xml"/><Relationship Id="rId12" Type="http://schemas.openxmlformats.org/officeDocument/2006/relationships/customXml" Target="../customXml/item1.xml"/><Relationship Id="rId9" Type="http://schemas.openxmlformats.org/officeDocument/2006/relationships/fontTable" Target="fontTable.xml"/><Relationship Id="rId5" Type="http://schemas.openxmlformats.org/officeDocument/2006/relationships/footer" Target="footer3.xml"/><Relationship Id="rId6" Type="http://schemas.openxmlformats.org/officeDocument/2006/relationships/footer" Target="footer4.xml"/><Relationship Id="rId7" Type="http://schemas.openxmlformats.org/officeDocument/2006/relationships/header" Target="header5.xml"/><Relationship Id="rId8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E37896-46AF-FE47-BEB6-61D49A3F6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Words>355</Words>
  <Pages>1</Pages>
  <Characters>2109</Characters>
  <Application>WPS Office</Application>
  <DocSecurity>0</DocSecurity>
  <Paragraphs>28</Paragraphs>
  <ScaleCrop>false</ScaleCrop>
  <LinksUpToDate>false</LinksUpToDate>
  <CharactersWithSpaces>2462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2019-06-25T13:28:00Z</dcterms:created>
  <dc:creator>WPS Office</dc:creator>
  <lastModifiedBy>TECNO LA7</lastModifiedBy>
  <dcterms:modified xsi:type="dcterms:W3CDTF">2019-06-27T09:02:36Z</dcterms:modified>
  <revision>1</revision>
  <dc:title/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