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ED8" w:rsidRDefault="00240ED8" w:rsidP="00240ED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IN-VITRO </w:t>
      </w:r>
      <w:r>
        <w:rPr>
          <w:rFonts w:ascii="Times New Roman" w:hAnsi="Times New Roman"/>
          <w:b/>
          <w:sz w:val="24"/>
          <w:szCs w:val="24"/>
        </w:rPr>
        <w:t>EVALUATION OF PROBIOTICS ON ORAL HEALTH</w:t>
      </w:r>
    </w:p>
    <w:p w:rsidR="00240ED8" w:rsidRDefault="00240ED8" w:rsidP="00240ED8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8D0E32">
        <w:rPr>
          <w:rFonts w:ascii="Times New Roman" w:hAnsi="Times New Roman"/>
          <w:sz w:val="24"/>
          <w:szCs w:val="24"/>
        </w:rPr>
        <w:t>hipla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S. Nair* and J. B. Prajapati</w:t>
      </w:r>
    </w:p>
    <w:p w:rsidR="00240ED8" w:rsidRDefault="00240ED8" w:rsidP="00240ED8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Dairy Microbiology Department, SMC College of Dairy Science, AAU, </w:t>
      </w:r>
    </w:p>
    <w:p w:rsidR="00240ED8" w:rsidRDefault="00240ED8" w:rsidP="00EC7BD7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Anand-388110</w:t>
      </w:r>
    </w:p>
    <w:p w:rsidR="00893CC8" w:rsidRPr="00EC7BD7" w:rsidRDefault="00893CC8" w:rsidP="00EC7BD7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*nairshilpa5411@gmail.com</w:t>
      </w:r>
    </w:p>
    <w:p w:rsidR="00240ED8" w:rsidRPr="00240ED8" w:rsidRDefault="00240ED8" w:rsidP="00240ED8">
      <w:pPr>
        <w:tabs>
          <w:tab w:val="center" w:pos="4680"/>
          <w:tab w:val="left" w:pos="5743"/>
        </w:tabs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Introduction:</w:t>
      </w:r>
    </w:p>
    <w:p w:rsidR="00240ED8" w:rsidRDefault="00931D19" w:rsidP="00240ED8">
      <w:pPr>
        <w:tabs>
          <w:tab w:val="center" w:pos="4680"/>
          <w:tab w:val="left" w:pos="574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240ED8" w:rsidRPr="00E00C98">
        <w:rPr>
          <w:rFonts w:ascii="Times New Roman" w:hAnsi="Times New Roman" w:cs="Times New Roman"/>
          <w:sz w:val="24"/>
          <w:szCs w:val="24"/>
        </w:rPr>
        <w:t xml:space="preserve">otential application of probiotics to maintain oral health and treat oral diseases has gained attention of several researchers. Although only few clinical studies have been conducted, the </w:t>
      </w:r>
      <w:r w:rsidR="00490C95" w:rsidRPr="00E00C98">
        <w:rPr>
          <w:rFonts w:ascii="Times New Roman" w:hAnsi="Times New Roman" w:cs="Times New Roman"/>
          <w:sz w:val="24"/>
          <w:szCs w:val="24"/>
        </w:rPr>
        <w:t>results to date suggest</w:t>
      </w:r>
      <w:r w:rsidR="00240ED8" w:rsidRPr="00E00C98">
        <w:rPr>
          <w:rFonts w:ascii="Times New Roman" w:hAnsi="Times New Roman" w:cs="Times New Roman"/>
          <w:sz w:val="24"/>
          <w:szCs w:val="24"/>
        </w:rPr>
        <w:t xml:space="preserve"> that the probiotics and its products can </w:t>
      </w:r>
      <w:r w:rsidR="00F373A6">
        <w:rPr>
          <w:rFonts w:ascii="Times New Roman" w:hAnsi="Times New Roman" w:cs="Times New Roman"/>
          <w:sz w:val="24"/>
          <w:szCs w:val="24"/>
        </w:rPr>
        <w:t xml:space="preserve">be </w:t>
      </w:r>
      <w:r w:rsidR="00F373A6" w:rsidRPr="00E00C98">
        <w:rPr>
          <w:rFonts w:ascii="Times New Roman" w:hAnsi="Times New Roman" w:cs="Times New Roman"/>
          <w:sz w:val="24"/>
          <w:szCs w:val="24"/>
        </w:rPr>
        <w:t>use</w:t>
      </w:r>
      <w:r w:rsidR="00F373A6">
        <w:rPr>
          <w:rFonts w:ascii="Times New Roman" w:hAnsi="Times New Roman" w:cs="Times New Roman"/>
          <w:sz w:val="24"/>
          <w:szCs w:val="24"/>
        </w:rPr>
        <w:t>d</w:t>
      </w:r>
      <w:r w:rsidR="00240ED8" w:rsidRPr="00E00C98">
        <w:rPr>
          <w:rFonts w:ascii="Times New Roman" w:hAnsi="Times New Roman" w:cs="Times New Roman"/>
          <w:sz w:val="24"/>
          <w:szCs w:val="24"/>
        </w:rPr>
        <w:t xml:space="preserve"> to maintain the overall oral health.</w:t>
      </w:r>
    </w:p>
    <w:p w:rsidR="00FB610A" w:rsidRPr="00240ED8" w:rsidRDefault="00FB610A" w:rsidP="00FB610A">
      <w:pPr>
        <w:tabs>
          <w:tab w:val="center" w:pos="4680"/>
          <w:tab w:val="left" w:pos="5743"/>
        </w:tabs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Objective:</w:t>
      </w:r>
    </w:p>
    <w:p w:rsidR="00FB610A" w:rsidRDefault="00FB610A" w:rsidP="00240ED8">
      <w:pPr>
        <w:tabs>
          <w:tab w:val="center" w:pos="4680"/>
          <w:tab w:val="left" w:pos="574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estimate the potential of probiotic</w:t>
      </w:r>
      <w:r w:rsidR="00F373A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in tre</w:t>
      </w:r>
      <w:r w:rsidR="00F373A6">
        <w:rPr>
          <w:rFonts w:ascii="Times New Roman" w:hAnsi="Times New Roman" w:cs="Times New Roman"/>
          <w:sz w:val="24"/>
          <w:szCs w:val="24"/>
        </w:rPr>
        <w:t>ating oral diseases and improving human oral conditions.</w:t>
      </w:r>
    </w:p>
    <w:p w:rsidR="00240ED8" w:rsidRPr="00240ED8" w:rsidRDefault="00240ED8" w:rsidP="00240ED8">
      <w:pPr>
        <w:tabs>
          <w:tab w:val="center" w:pos="4680"/>
          <w:tab w:val="left" w:pos="5743"/>
        </w:tabs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Methods:</w:t>
      </w:r>
    </w:p>
    <w:p w:rsidR="00562108" w:rsidRDefault="00240ED8" w:rsidP="00240ED8">
      <w:pPr>
        <w:tabs>
          <w:tab w:val="center" w:pos="4680"/>
          <w:tab w:val="left" w:pos="574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F373A6">
        <w:rPr>
          <w:rFonts w:ascii="Times New Roman" w:hAnsi="Times New Roman" w:cs="Times New Roman"/>
          <w:sz w:val="24"/>
          <w:szCs w:val="24"/>
        </w:rPr>
        <w:t xml:space="preserve">effect of </w:t>
      </w:r>
      <w:r w:rsidR="00F373A6">
        <w:rPr>
          <w:rFonts w:ascii="Times New Roman" w:hAnsi="Times New Roman" w:cs="Times New Roman"/>
          <w:i/>
          <w:sz w:val="24"/>
          <w:szCs w:val="24"/>
        </w:rPr>
        <w:t>L. helvetics</w:t>
      </w:r>
      <w:r w:rsidR="00F373A6">
        <w:rPr>
          <w:rFonts w:ascii="Times New Roman" w:hAnsi="Times New Roman" w:cs="Times New Roman"/>
          <w:sz w:val="24"/>
          <w:szCs w:val="24"/>
        </w:rPr>
        <w:t xml:space="preserve">, </w:t>
      </w:r>
      <w:r w:rsidR="00F373A6">
        <w:rPr>
          <w:rFonts w:ascii="Times New Roman" w:hAnsi="Times New Roman" w:cs="Times New Roman"/>
          <w:i/>
          <w:sz w:val="24"/>
          <w:szCs w:val="24"/>
        </w:rPr>
        <w:t>L. rhamnosus</w:t>
      </w:r>
      <w:r w:rsidR="00F373A6">
        <w:rPr>
          <w:rFonts w:ascii="Times New Roman" w:hAnsi="Times New Roman" w:cs="Times New Roman"/>
          <w:sz w:val="24"/>
          <w:szCs w:val="24"/>
        </w:rPr>
        <w:t xml:space="preserve">, </w:t>
      </w:r>
      <w:r w:rsidR="00F373A6" w:rsidRPr="00C40583">
        <w:rPr>
          <w:rFonts w:ascii="Times New Roman" w:hAnsi="Times New Roman" w:cs="Times New Roman"/>
          <w:i/>
          <w:sz w:val="24"/>
          <w:szCs w:val="24"/>
        </w:rPr>
        <w:t>L</w:t>
      </w:r>
      <w:r w:rsidR="00F373A6">
        <w:rPr>
          <w:rFonts w:ascii="Times New Roman" w:hAnsi="Times New Roman" w:cs="Times New Roman"/>
          <w:i/>
          <w:sz w:val="24"/>
          <w:szCs w:val="24"/>
        </w:rPr>
        <w:t>.</w:t>
      </w:r>
      <w:r w:rsidR="004D02C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373A6" w:rsidRPr="00C40583">
        <w:rPr>
          <w:rFonts w:ascii="Times New Roman" w:hAnsi="Times New Roman" w:cs="Times New Roman"/>
          <w:i/>
          <w:sz w:val="24"/>
          <w:szCs w:val="24"/>
        </w:rPr>
        <w:t>fermentum</w:t>
      </w:r>
      <w:r w:rsidR="00F373A6">
        <w:rPr>
          <w:rFonts w:ascii="Times New Roman" w:hAnsi="Times New Roman" w:cs="Times New Roman"/>
          <w:sz w:val="24"/>
          <w:szCs w:val="24"/>
        </w:rPr>
        <w:t xml:space="preserve">, </w:t>
      </w:r>
      <w:r w:rsidR="00F373A6">
        <w:rPr>
          <w:rFonts w:ascii="Times New Roman" w:hAnsi="Times New Roman" w:cs="Times New Roman"/>
          <w:i/>
          <w:sz w:val="24"/>
          <w:szCs w:val="24"/>
        </w:rPr>
        <w:t>L. paracasei</w:t>
      </w:r>
      <w:r w:rsidR="00F373A6">
        <w:rPr>
          <w:rFonts w:ascii="Times New Roman" w:hAnsi="Times New Roman" w:cs="Times New Roman"/>
          <w:sz w:val="24"/>
          <w:szCs w:val="24"/>
        </w:rPr>
        <w:t xml:space="preserve"> and </w:t>
      </w:r>
      <w:r w:rsidR="00F373A6">
        <w:rPr>
          <w:rFonts w:ascii="Times New Roman" w:hAnsi="Times New Roman" w:cs="Times New Roman"/>
          <w:i/>
          <w:sz w:val="24"/>
          <w:szCs w:val="24"/>
        </w:rPr>
        <w:t>W. cibaria</w:t>
      </w:r>
      <w:r w:rsidR="004D02C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373A6">
        <w:rPr>
          <w:rFonts w:ascii="Times New Roman" w:hAnsi="Times New Roman" w:cs="Times New Roman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tested first for their antimicrobial activity against oral pathogens viz., </w:t>
      </w:r>
      <w:r>
        <w:rPr>
          <w:rFonts w:ascii="Times New Roman" w:hAnsi="Times New Roman" w:cs="Times New Roman"/>
          <w:i/>
          <w:sz w:val="24"/>
          <w:szCs w:val="24"/>
        </w:rPr>
        <w:t>S</w:t>
      </w:r>
      <w:r w:rsidR="00F373A6">
        <w:rPr>
          <w:rFonts w:ascii="Times New Roman" w:hAnsi="Times New Roman" w:cs="Times New Roman"/>
          <w:i/>
          <w:sz w:val="24"/>
          <w:szCs w:val="24"/>
        </w:rPr>
        <w:t>.</w:t>
      </w:r>
      <w:r w:rsidR="00C205A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mutans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="004D02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C</w:t>
      </w:r>
      <w:r w:rsidR="00F373A6">
        <w:rPr>
          <w:rFonts w:ascii="Times New Roman" w:hAnsi="Times New Roman" w:cs="Times New Roman"/>
          <w:i/>
          <w:sz w:val="24"/>
          <w:szCs w:val="24"/>
        </w:rPr>
        <w:t>.</w:t>
      </w:r>
      <w:r w:rsidR="004D02C8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albicans</w:t>
      </w:r>
      <w:r>
        <w:rPr>
          <w:rFonts w:ascii="Times New Roman" w:hAnsi="Times New Roman" w:cs="Times New Roman"/>
          <w:sz w:val="24"/>
          <w:szCs w:val="24"/>
        </w:rPr>
        <w:t>.</w:t>
      </w:r>
      <w:r w:rsidR="004D02C8">
        <w:rPr>
          <w:rFonts w:ascii="Times New Roman" w:hAnsi="Times New Roman" w:cs="Times New Roman"/>
          <w:sz w:val="24"/>
          <w:szCs w:val="24"/>
        </w:rPr>
        <w:t xml:space="preserve"> </w:t>
      </w:r>
      <w:r w:rsidR="00C61924">
        <w:rPr>
          <w:rFonts w:ascii="Times New Roman" w:hAnsi="Times New Roman" w:cs="Times New Roman"/>
          <w:sz w:val="24"/>
          <w:szCs w:val="24"/>
        </w:rPr>
        <w:t>The v</w:t>
      </w:r>
      <w:r>
        <w:rPr>
          <w:rFonts w:ascii="Times New Roman" w:hAnsi="Times New Roman" w:cs="Times New Roman"/>
          <w:sz w:val="24"/>
          <w:szCs w:val="24"/>
        </w:rPr>
        <w:t>iability</w:t>
      </w:r>
      <w:r w:rsidR="00C61924">
        <w:rPr>
          <w:rFonts w:ascii="Times New Roman" w:hAnsi="Times New Roman" w:cs="Times New Roman"/>
          <w:sz w:val="24"/>
          <w:szCs w:val="24"/>
        </w:rPr>
        <w:t>,</w:t>
      </w:r>
      <w:r w:rsidR="004D02C8">
        <w:rPr>
          <w:rFonts w:ascii="Times New Roman" w:hAnsi="Times New Roman" w:cs="Times New Roman"/>
          <w:sz w:val="24"/>
          <w:szCs w:val="24"/>
        </w:rPr>
        <w:t xml:space="preserve"> </w:t>
      </w:r>
      <w:r w:rsidRPr="00F7579D">
        <w:rPr>
          <w:rFonts w:ascii="Times New Roman" w:hAnsi="Times New Roman" w:cs="Times New Roman"/>
          <w:sz w:val="24"/>
          <w:szCs w:val="24"/>
        </w:rPr>
        <w:t>adherence rate</w:t>
      </w:r>
      <w:r w:rsidR="00C61924">
        <w:rPr>
          <w:rFonts w:ascii="Times New Roman" w:hAnsi="Times New Roman" w:cs="Times New Roman"/>
          <w:sz w:val="24"/>
          <w:szCs w:val="24"/>
        </w:rPr>
        <w:t>,</w:t>
      </w:r>
      <w:r w:rsidR="004D02C8">
        <w:rPr>
          <w:rFonts w:ascii="Times New Roman" w:hAnsi="Times New Roman" w:cs="Times New Roman"/>
          <w:sz w:val="24"/>
          <w:szCs w:val="24"/>
        </w:rPr>
        <w:t xml:space="preserve"> </w:t>
      </w:r>
      <w:r w:rsidR="00C6192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nti-</w:t>
      </w:r>
      <w:r w:rsidR="00562108">
        <w:rPr>
          <w:rFonts w:ascii="Times New Roman" w:hAnsi="Times New Roman" w:cs="Times New Roman"/>
          <w:sz w:val="24"/>
          <w:szCs w:val="24"/>
        </w:rPr>
        <w:t>oxidant</w:t>
      </w:r>
      <w:r>
        <w:rPr>
          <w:rFonts w:ascii="Times New Roman" w:hAnsi="Times New Roman" w:cs="Times New Roman"/>
          <w:sz w:val="24"/>
          <w:szCs w:val="24"/>
        </w:rPr>
        <w:t xml:space="preserve"> activity</w:t>
      </w:r>
      <w:r w:rsidR="00562108">
        <w:rPr>
          <w:rFonts w:ascii="Times New Roman" w:hAnsi="Times New Roman" w:cs="Times New Roman"/>
          <w:sz w:val="24"/>
          <w:szCs w:val="24"/>
        </w:rPr>
        <w:t xml:space="preserve"> (anti-plaque activity)</w:t>
      </w:r>
      <w:r w:rsidR="004D02C8">
        <w:rPr>
          <w:rFonts w:ascii="Times New Roman" w:hAnsi="Times New Roman" w:cs="Times New Roman"/>
          <w:sz w:val="24"/>
          <w:szCs w:val="24"/>
        </w:rPr>
        <w:t xml:space="preserve"> </w:t>
      </w:r>
      <w:r w:rsidR="00893CC8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anti-carcinogenic pro</w:t>
      </w:r>
      <w:r w:rsidR="00687FF3">
        <w:rPr>
          <w:rFonts w:ascii="Times New Roman" w:hAnsi="Times New Roman" w:cs="Times New Roman"/>
          <w:sz w:val="24"/>
          <w:szCs w:val="24"/>
        </w:rPr>
        <w:t xml:space="preserve">perty </w:t>
      </w:r>
      <w:r w:rsidR="00562108">
        <w:rPr>
          <w:rFonts w:ascii="Times New Roman" w:hAnsi="Times New Roman" w:cs="Times New Roman"/>
          <w:sz w:val="24"/>
          <w:szCs w:val="24"/>
        </w:rPr>
        <w:t xml:space="preserve">by analysing the nitrosamine degrading ability of the probiotics </w:t>
      </w:r>
      <w:r w:rsidR="00687FF3">
        <w:rPr>
          <w:rFonts w:ascii="Times New Roman" w:hAnsi="Times New Roman" w:cs="Times New Roman"/>
          <w:sz w:val="24"/>
          <w:szCs w:val="24"/>
        </w:rPr>
        <w:t>w</w:t>
      </w:r>
      <w:r w:rsidR="00893CC8">
        <w:rPr>
          <w:rFonts w:ascii="Times New Roman" w:hAnsi="Times New Roman" w:cs="Times New Roman"/>
          <w:sz w:val="24"/>
          <w:szCs w:val="24"/>
        </w:rPr>
        <w:t>ere also</w:t>
      </w:r>
      <w:r w:rsidR="00687FF3">
        <w:rPr>
          <w:rFonts w:ascii="Times New Roman" w:hAnsi="Times New Roman" w:cs="Times New Roman"/>
          <w:sz w:val="24"/>
          <w:szCs w:val="24"/>
        </w:rPr>
        <w:t xml:space="preserve"> determined</w:t>
      </w:r>
      <w:r w:rsidR="00562108">
        <w:rPr>
          <w:rFonts w:ascii="Times New Roman" w:hAnsi="Times New Roman" w:cs="Times New Roman"/>
          <w:sz w:val="24"/>
          <w:szCs w:val="24"/>
        </w:rPr>
        <w:t>.</w:t>
      </w:r>
    </w:p>
    <w:p w:rsidR="00240ED8" w:rsidRPr="00240ED8" w:rsidRDefault="00240ED8" w:rsidP="00240ED8">
      <w:pPr>
        <w:tabs>
          <w:tab w:val="center" w:pos="4680"/>
          <w:tab w:val="left" w:pos="5743"/>
        </w:tabs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Result and Discussion:</w:t>
      </w:r>
    </w:p>
    <w:p w:rsidR="00562108" w:rsidRDefault="00EC7BD7" w:rsidP="00240ED8">
      <w:pPr>
        <w:tabs>
          <w:tab w:val="center" w:pos="4680"/>
          <w:tab w:val="left" w:pos="5743"/>
        </w:tabs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W. </w:t>
      </w:r>
      <w:r w:rsidR="00240ED8">
        <w:rPr>
          <w:rFonts w:ascii="Times New Roman" w:hAnsi="Times New Roman" w:cs="Times New Roman"/>
          <w:i/>
          <w:sz w:val="24"/>
          <w:szCs w:val="24"/>
        </w:rPr>
        <w:t>cibaria</w:t>
      </w:r>
      <w:r w:rsidR="004D02C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40ED8">
        <w:rPr>
          <w:rFonts w:ascii="Times New Roman" w:hAnsi="Times New Roman" w:cs="Times New Roman"/>
          <w:sz w:val="24"/>
          <w:szCs w:val="24"/>
        </w:rPr>
        <w:t>showed maximum overall antimicrobial activity</w:t>
      </w:r>
      <w:r w:rsidR="00931D19">
        <w:rPr>
          <w:rFonts w:ascii="Times New Roman" w:hAnsi="Times New Roman" w:cs="Times New Roman"/>
          <w:sz w:val="24"/>
          <w:szCs w:val="24"/>
        </w:rPr>
        <w:t xml:space="preserve"> against both the pathogens</w:t>
      </w:r>
      <w:r w:rsidR="00240ED8">
        <w:rPr>
          <w:rFonts w:ascii="Times New Roman" w:hAnsi="Times New Roman" w:cs="Times New Roman"/>
          <w:sz w:val="24"/>
          <w:szCs w:val="24"/>
        </w:rPr>
        <w:t xml:space="preserve">. Maximum overall co-aggregation activity was observed in </w:t>
      </w:r>
      <w:r w:rsidR="00240ED8">
        <w:rPr>
          <w:rFonts w:ascii="Times New Roman" w:hAnsi="Times New Roman" w:cs="Times New Roman"/>
          <w:i/>
          <w:sz w:val="24"/>
          <w:szCs w:val="24"/>
        </w:rPr>
        <w:t>W. cibaria</w:t>
      </w:r>
      <w:r w:rsidR="004D02C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40ED8">
        <w:rPr>
          <w:rFonts w:ascii="Times New Roman" w:hAnsi="Times New Roman" w:cs="Times New Roman"/>
          <w:sz w:val="24"/>
          <w:szCs w:val="24"/>
        </w:rPr>
        <w:t>with 49.75% activity.</w:t>
      </w:r>
      <w:r w:rsidR="004D02C8">
        <w:rPr>
          <w:rFonts w:ascii="Times New Roman" w:hAnsi="Times New Roman" w:cs="Times New Roman"/>
          <w:sz w:val="24"/>
          <w:szCs w:val="24"/>
        </w:rPr>
        <w:t xml:space="preserve"> </w:t>
      </w:r>
      <w:r w:rsidR="00240ED8">
        <w:rPr>
          <w:rFonts w:ascii="Times New Roman" w:hAnsi="Times New Roman" w:cs="Times New Roman"/>
          <w:sz w:val="24"/>
          <w:szCs w:val="24"/>
        </w:rPr>
        <w:t>The</w:t>
      </w:r>
      <w:r w:rsidR="00291E03">
        <w:rPr>
          <w:rFonts w:ascii="Times New Roman" w:hAnsi="Times New Roman" w:cs="Times New Roman"/>
          <w:sz w:val="24"/>
          <w:szCs w:val="24"/>
        </w:rPr>
        <w:t xml:space="preserve"> maximum</w:t>
      </w:r>
      <w:r w:rsidR="00F373A6">
        <w:rPr>
          <w:rFonts w:ascii="Times New Roman" w:hAnsi="Times New Roman" w:cs="Times New Roman"/>
          <w:sz w:val="24"/>
          <w:szCs w:val="24"/>
        </w:rPr>
        <w:t xml:space="preserve"> average survival value</w:t>
      </w:r>
      <w:r w:rsidR="00240ED8">
        <w:rPr>
          <w:rFonts w:ascii="Times New Roman" w:hAnsi="Times New Roman" w:cs="Times New Roman"/>
          <w:sz w:val="24"/>
          <w:szCs w:val="24"/>
        </w:rPr>
        <w:t xml:space="preserve"> in both the inhibitors at different </w:t>
      </w:r>
      <w:r w:rsidR="00F373A6">
        <w:rPr>
          <w:rFonts w:ascii="Times New Roman" w:hAnsi="Times New Roman" w:cs="Times New Roman"/>
          <w:sz w:val="24"/>
          <w:szCs w:val="24"/>
        </w:rPr>
        <w:t>concentrations</w:t>
      </w:r>
      <w:r w:rsidR="004D02C8">
        <w:rPr>
          <w:rFonts w:ascii="Times New Roman" w:hAnsi="Times New Roman" w:cs="Times New Roman"/>
          <w:sz w:val="24"/>
          <w:szCs w:val="24"/>
        </w:rPr>
        <w:t xml:space="preserve"> </w:t>
      </w:r>
      <w:r w:rsidR="00240ED8" w:rsidRPr="00EB6BF2">
        <w:rPr>
          <w:rFonts w:ascii="Times New Roman" w:hAnsi="Times New Roman" w:cs="Times New Roman"/>
          <w:sz w:val="24"/>
          <w:szCs w:val="24"/>
        </w:rPr>
        <w:t xml:space="preserve">was </w:t>
      </w:r>
      <w:r w:rsidR="00240ED8" w:rsidRPr="00EB6BF2">
        <w:rPr>
          <w:rFonts w:ascii="Times New Roman" w:hAnsi="Times New Roman"/>
          <w:sz w:val="24"/>
          <w:szCs w:val="24"/>
        </w:rPr>
        <w:t>33.48</w:t>
      </w:r>
      <w:r w:rsidR="00240ED8">
        <w:rPr>
          <w:rFonts w:ascii="Times New Roman" w:hAnsi="Times New Roman" w:cs="Times New Roman"/>
          <w:sz w:val="24"/>
          <w:szCs w:val="24"/>
        </w:rPr>
        <w:t xml:space="preserve">% </w:t>
      </w:r>
      <w:r w:rsidR="00240ED8" w:rsidRPr="00EB6BF2">
        <w:rPr>
          <w:rFonts w:ascii="Times New Roman" w:hAnsi="Times New Roman" w:cs="Times New Roman"/>
          <w:sz w:val="24"/>
          <w:szCs w:val="24"/>
        </w:rPr>
        <w:t xml:space="preserve">for </w:t>
      </w:r>
      <w:r w:rsidR="00240ED8" w:rsidRPr="00EB6BF2">
        <w:rPr>
          <w:rFonts w:ascii="Times New Roman" w:hAnsi="Times New Roman"/>
          <w:i/>
          <w:sz w:val="24"/>
          <w:szCs w:val="24"/>
        </w:rPr>
        <w:t>W. cibaria</w:t>
      </w:r>
      <w:r w:rsidR="00240ED8" w:rsidRPr="00EB6BF2">
        <w:rPr>
          <w:rFonts w:ascii="Times New Roman" w:hAnsi="Times New Roman" w:cs="Times New Roman"/>
          <w:sz w:val="24"/>
          <w:szCs w:val="24"/>
        </w:rPr>
        <w:t>.</w:t>
      </w:r>
      <w:r w:rsidR="004D02C8">
        <w:rPr>
          <w:rFonts w:ascii="Times New Roman" w:hAnsi="Times New Roman" w:cs="Times New Roman"/>
          <w:sz w:val="24"/>
          <w:szCs w:val="24"/>
        </w:rPr>
        <w:t xml:space="preserve"> </w:t>
      </w:r>
      <w:r w:rsidR="00240ED8" w:rsidRPr="00F7579D">
        <w:rPr>
          <w:rFonts w:ascii="Times New Roman" w:hAnsi="Times New Roman" w:cs="Times New Roman"/>
          <w:i/>
          <w:sz w:val="24"/>
          <w:szCs w:val="24"/>
        </w:rPr>
        <w:t>L. rhamnosus</w:t>
      </w:r>
      <w:r w:rsidR="00240ED8" w:rsidRPr="00F7579D">
        <w:rPr>
          <w:rFonts w:ascii="Times New Roman" w:hAnsi="Times New Roman" w:cs="Times New Roman"/>
          <w:sz w:val="24"/>
          <w:szCs w:val="24"/>
        </w:rPr>
        <w:t xml:space="preserve"> was observed to have maximum adherence rate (70.29%).</w:t>
      </w:r>
      <w:r w:rsidR="00240ED8">
        <w:rPr>
          <w:rFonts w:ascii="Times New Roman" w:hAnsi="Times New Roman" w:cs="Times New Roman"/>
          <w:sz w:val="24"/>
          <w:szCs w:val="24"/>
        </w:rPr>
        <w:t xml:space="preserve">On evaluating the anti-oxidant property by ABTS assay, the strain </w:t>
      </w:r>
      <w:r w:rsidR="00240ED8">
        <w:rPr>
          <w:rFonts w:ascii="Times New Roman" w:hAnsi="Times New Roman"/>
          <w:i/>
          <w:sz w:val="24"/>
          <w:szCs w:val="24"/>
        </w:rPr>
        <w:t>W. cibaria</w:t>
      </w:r>
      <w:r w:rsidR="00240ED8">
        <w:rPr>
          <w:rFonts w:ascii="Times New Roman" w:hAnsi="Times New Roman" w:cs="Times New Roman"/>
          <w:sz w:val="24"/>
          <w:szCs w:val="24"/>
        </w:rPr>
        <w:t xml:space="preserve"> showed the highest scavenging effect (</w:t>
      </w:r>
      <w:r w:rsidR="00240ED8">
        <w:rPr>
          <w:rFonts w:ascii="Times New Roman" w:hAnsi="Times New Roman"/>
          <w:sz w:val="24"/>
          <w:szCs w:val="24"/>
        </w:rPr>
        <w:t xml:space="preserve">66.76 </w:t>
      </w:r>
      <w:r w:rsidR="00240ED8">
        <w:rPr>
          <w:rFonts w:ascii="Times New Roman" w:hAnsi="Times New Roman" w:cs="Times New Roman"/>
          <w:sz w:val="24"/>
          <w:szCs w:val="24"/>
        </w:rPr>
        <w:t xml:space="preserve">%).  </w:t>
      </w:r>
      <w:r w:rsidR="00240ED8">
        <w:rPr>
          <w:rFonts w:ascii="Times New Roman" w:hAnsi="Times New Roman" w:cs="Times New Roman"/>
          <w:i/>
          <w:sz w:val="24"/>
          <w:szCs w:val="24"/>
        </w:rPr>
        <w:t>L. paracasei</w:t>
      </w:r>
      <w:r w:rsidR="00240ED8">
        <w:rPr>
          <w:rFonts w:ascii="Times New Roman" w:hAnsi="Times New Roman" w:cs="Times New Roman"/>
          <w:sz w:val="24"/>
          <w:szCs w:val="24"/>
        </w:rPr>
        <w:t xml:space="preserve"> showed the highest radical scavenging activity (</w:t>
      </w:r>
      <w:r w:rsidR="00240ED8">
        <w:rPr>
          <w:rFonts w:ascii="Times New Roman" w:hAnsi="Times New Roman"/>
          <w:sz w:val="24"/>
          <w:szCs w:val="24"/>
        </w:rPr>
        <w:t xml:space="preserve">61.39 </w:t>
      </w:r>
      <w:r w:rsidR="00240ED8">
        <w:rPr>
          <w:rFonts w:ascii="Times New Roman" w:hAnsi="Times New Roman" w:cs="Times New Roman"/>
          <w:sz w:val="24"/>
          <w:szCs w:val="24"/>
        </w:rPr>
        <w:t xml:space="preserve">%), by DPPH method.Maximum release of nitrite from nitrosamine was observed in </w:t>
      </w:r>
      <w:r w:rsidR="00240ED8">
        <w:rPr>
          <w:rFonts w:ascii="Times New Roman" w:hAnsi="Times New Roman"/>
          <w:i/>
          <w:sz w:val="24"/>
          <w:szCs w:val="24"/>
        </w:rPr>
        <w:t>W. cibaria</w:t>
      </w:r>
      <w:r w:rsidR="004D02C8">
        <w:rPr>
          <w:rFonts w:ascii="Times New Roman" w:hAnsi="Times New Roman"/>
          <w:i/>
          <w:sz w:val="24"/>
          <w:szCs w:val="24"/>
        </w:rPr>
        <w:t xml:space="preserve"> </w:t>
      </w:r>
      <w:r w:rsidR="001A7559">
        <w:rPr>
          <w:rFonts w:ascii="Times New Roman" w:hAnsi="Times New Roman"/>
          <w:sz w:val="24"/>
          <w:szCs w:val="24"/>
        </w:rPr>
        <w:t xml:space="preserve">producing overall nitrite amount of 1.48 </w:t>
      </w:r>
      <w:r w:rsidR="001A7559" w:rsidRPr="00954D4E">
        <w:rPr>
          <w:rFonts w:ascii="Times New Roman" w:hAnsi="Times New Roman" w:cs="Times New Roman"/>
          <w:sz w:val="24"/>
          <w:szCs w:val="24"/>
        </w:rPr>
        <w:t>µ</w:t>
      </w:r>
      <w:r w:rsidR="001A7559" w:rsidRPr="00954D4E">
        <w:rPr>
          <w:rFonts w:ascii="Times New Roman" w:hAnsi="Times New Roman"/>
          <w:sz w:val="24"/>
          <w:szCs w:val="24"/>
        </w:rPr>
        <w:t>mol/ml</w:t>
      </w:r>
      <w:r w:rsidR="001A7559">
        <w:rPr>
          <w:rFonts w:ascii="Times New Roman" w:hAnsi="Times New Roman"/>
          <w:sz w:val="24"/>
          <w:szCs w:val="24"/>
        </w:rPr>
        <w:t>.</w:t>
      </w:r>
    </w:p>
    <w:p w:rsidR="00240ED8" w:rsidRPr="00240ED8" w:rsidRDefault="00240ED8" w:rsidP="00240ED8">
      <w:pPr>
        <w:tabs>
          <w:tab w:val="center" w:pos="4680"/>
          <w:tab w:val="left" w:pos="5743"/>
        </w:tabs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Conclusion:</w:t>
      </w:r>
    </w:p>
    <w:p w:rsidR="00240ED8" w:rsidRPr="001C69AB" w:rsidRDefault="00240ED8" w:rsidP="00240ED8">
      <w:pPr>
        <w:tabs>
          <w:tab w:val="center" w:pos="4680"/>
          <w:tab w:val="left" w:pos="574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Weisella</w:t>
      </w:r>
      <w:r w:rsidR="004D02C8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cibaria</w:t>
      </w:r>
      <w:r w:rsidR="004D02C8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MTCC 5947 </w:t>
      </w:r>
      <w:r w:rsidR="001A7559">
        <w:rPr>
          <w:rFonts w:ascii="Times New Roman" w:hAnsi="Times New Roman" w:cs="Times New Roman"/>
          <w:sz w:val="24"/>
          <w:szCs w:val="24"/>
        </w:rPr>
        <w:t>was observed to have the</w:t>
      </w:r>
      <w:r>
        <w:rPr>
          <w:rFonts w:ascii="Times New Roman" w:hAnsi="Times New Roman" w:cs="Times New Roman"/>
          <w:sz w:val="24"/>
          <w:szCs w:val="24"/>
        </w:rPr>
        <w:t xml:space="preserve"> potential for </w:t>
      </w:r>
      <w:r w:rsidR="001A7559">
        <w:rPr>
          <w:rFonts w:ascii="Times New Roman" w:hAnsi="Times New Roman" w:cs="Times New Roman"/>
          <w:sz w:val="24"/>
          <w:szCs w:val="24"/>
        </w:rPr>
        <w:t xml:space="preserve">maintaining </w:t>
      </w:r>
      <w:r>
        <w:rPr>
          <w:rFonts w:ascii="Times New Roman" w:hAnsi="Times New Roman" w:cs="Times New Roman"/>
          <w:sz w:val="24"/>
          <w:szCs w:val="24"/>
        </w:rPr>
        <w:t>oral health</w:t>
      </w:r>
      <w:r w:rsidR="00F373A6">
        <w:rPr>
          <w:rFonts w:ascii="Times New Roman" w:hAnsi="Times New Roman" w:cs="Times New Roman"/>
          <w:sz w:val="24"/>
          <w:szCs w:val="24"/>
        </w:rPr>
        <w:t>and can be used to substitute</w:t>
      </w:r>
      <w:r w:rsidRPr="001C69AB">
        <w:rPr>
          <w:rFonts w:ascii="Times New Roman" w:hAnsi="Times New Roman" w:cs="Times New Roman"/>
          <w:sz w:val="24"/>
          <w:szCs w:val="24"/>
        </w:rPr>
        <w:t xml:space="preserve"> antibiotic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1C69AB">
        <w:rPr>
          <w:rFonts w:ascii="Times New Roman" w:hAnsi="Times New Roman" w:cs="Times New Roman"/>
          <w:sz w:val="24"/>
          <w:szCs w:val="24"/>
        </w:rPr>
        <w:t xml:space="preserve"> to treat </w:t>
      </w:r>
      <w:r>
        <w:rPr>
          <w:rFonts w:ascii="Times New Roman" w:hAnsi="Times New Roman" w:cs="Times New Roman"/>
          <w:sz w:val="24"/>
          <w:szCs w:val="24"/>
        </w:rPr>
        <w:t>oral diseases</w:t>
      </w:r>
      <w:r w:rsidRPr="001C69AB">
        <w:rPr>
          <w:rFonts w:ascii="Times New Roman" w:hAnsi="Times New Roman" w:cs="Times New Roman"/>
          <w:sz w:val="24"/>
          <w:szCs w:val="24"/>
        </w:rPr>
        <w:t>.</w:t>
      </w:r>
    </w:p>
    <w:p w:rsidR="008F0F89" w:rsidRDefault="008F0F89" w:rsidP="008F0F89">
      <w:pPr>
        <w:tabs>
          <w:tab w:val="center" w:pos="4680"/>
          <w:tab w:val="left" w:pos="5743"/>
        </w:tabs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Key message:</w:t>
      </w:r>
    </w:p>
    <w:p w:rsidR="008F0F89" w:rsidRPr="008F0F89" w:rsidRDefault="00931D19" w:rsidP="008F0F89">
      <w:pPr>
        <w:tabs>
          <w:tab w:val="center" w:pos="4680"/>
          <w:tab w:val="left" w:pos="5743"/>
        </w:tabs>
        <w:spacing w:before="120" w:after="12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>Probiotics has potential to inhibit oral pathogens and maintain heathy oral cavity.</w:t>
      </w:r>
    </w:p>
    <w:sectPr w:rsidR="008F0F89" w:rsidRPr="008F0F89" w:rsidSect="00CA37EC">
      <w:footerReference w:type="default" r:id="rId7"/>
      <w:pgSz w:w="11907" w:h="16839" w:code="9"/>
      <w:pgMar w:top="1440" w:right="1440" w:bottom="1440" w:left="2160" w:header="720" w:footer="720" w:gutter="0"/>
      <w:pgNumType w:fmt="lowerRoman"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24C9" w:rsidRDefault="00BB24C9" w:rsidP="00F5608B">
      <w:pPr>
        <w:spacing w:after="0" w:line="240" w:lineRule="auto"/>
      </w:pPr>
      <w:r>
        <w:separator/>
      </w:r>
    </w:p>
  </w:endnote>
  <w:endnote w:type="continuationSeparator" w:id="1">
    <w:p w:rsidR="00BB24C9" w:rsidRDefault="00BB24C9" w:rsidP="00F56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hruti">
    <w:altName w:val="Cambria Math"/>
    <w:panose1 w:val="020005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EB9" w:rsidRPr="006B1EB9" w:rsidRDefault="00BB24C9">
    <w:pPr>
      <w:pStyle w:val="Footer"/>
      <w:jc w:val="right"/>
      <w:rPr>
        <w:rFonts w:ascii="Times New Roman" w:hAnsi="Times New Roman" w:cs="Times New Roman"/>
        <w:b/>
        <w:sz w:val="24"/>
      </w:rPr>
    </w:pPr>
  </w:p>
  <w:p w:rsidR="00F44FC2" w:rsidRDefault="00BB24C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24C9" w:rsidRDefault="00BB24C9" w:rsidP="00F5608B">
      <w:pPr>
        <w:spacing w:after="0" w:line="240" w:lineRule="auto"/>
      </w:pPr>
      <w:r>
        <w:separator/>
      </w:r>
    </w:p>
  </w:footnote>
  <w:footnote w:type="continuationSeparator" w:id="1">
    <w:p w:rsidR="00BB24C9" w:rsidRDefault="00BB24C9" w:rsidP="00F560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264AD7"/>
    <w:multiLevelType w:val="hybridMultilevel"/>
    <w:tmpl w:val="9E2A20DE"/>
    <w:lvl w:ilvl="0" w:tplc="A3AC87F0">
      <w:numFmt w:val="bullet"/>
      <w:lvlText w:val=""/>
      <w:lvlJc w:val="left"/>
      <w:pPr>
        <w:ind w:left="720" w:hanging="360"/>
      </w:pPr>
      <w:rPr>
        <w:rFonts w:ascii="Symbol" w:eastAsia="Calibri" w:hAnsi="Symbol" w:cs="Shrut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40ED8"/>
    <w:rsid w:val="001A7559"/>
    <w:rsid w:val="00240ED8"/>
    <w:rsid w:val="002425B0"/>
    <w:rsid w:val="00291E03"/>
    <w:rsid w:val="00490C95"/>
    <w:rsid w:val="004C136B"/>
    <w:rsid w:val="004D02C8"/>
    <w:rsid w:val="00550054"/>
    <w:rsid w:val="00562108"/>
    <w:rsid w:val="00671382"/>
    <w:rsid w:val="00687FF3"/>
    <w:rsid w:val="007B06E9"/>
    <w:rsid w:val="00884DF4"/>
    <w:rsid w:val="00893CC8"/>
    <w:rsid w:val="008D0E32"/>
    <w:rsid w:val="008F0F89"/>
    <w:rsid w:val="00931D19"/>
    <w:rsid w:val="00977E22"/>
    <w:rsid w:val="009C6D32"/>
    <w:rsid w:val="009E5186"/>
    <w:rsid w:val="00B65827"/>
    <w:rsid w:val="00BB24C9"/>
    <w:rsid w:val="00BD3417"/>
    <w:rsid w:val="00C205A9"/>
    <w:rsid w:val="00C61924"/>
    <w:rsid w:val="00D353DF"/>
    <w:rsid w:val="00E93DEC"/>
    <w:rsid w:val="00EC7BD7"/>
    <w:rsid w:val="00ED7F57"/>
    <w:rsid w:val="00F373A6"/>
    <w:rsid w:val="00F5608B"/>
    <w:rsid w:val="00FB61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ED8"/>
    <w:pPr>
      <w:spacing w:after="200" w:line="276" w:lineRule="auto"/>
    </w:pPr>
    <w:rPr>
      <w:rFonts w:ascii="Calibri" w:eastAsia="Calibri" w:hAnsi="Calibri" w:cs="Shrut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40E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ED8"/>
    <w:rPr>
      <w:rFonts w:ascii="Calibri" w:eastAsia="Calibri" w:hAnsi="Calibri" w:cs="Shruti"/>
    </w:rPr>
  </w:style>
  <w:style w:type="paragraph" w:styleId="ListParagraph">
    <w:name w:val="List Paragraph"/>
    <w:basedOn w:val="Normal"/>
    <w:uiPriority w:val="34"/>
    <w:qFormat/>
    <w:rsid w:val="00240ED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C7B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C7BD7"/>
    <w:rPr>
      <w:rFonts w:ascii="Calibri" w:eastAsia="Calibri" w:hAnsi="Calibri" w:cs="Shrut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shilpa nair</dc:creator>
  <cp:keywords/>
  <dc:description/>
  <cp:lastModifiedBy>Mansi Singh</cp:lastModifiedBy>
  <cp:revision>12</cp:revision>
  <dcterms:created xsi:type="dcterms:W3CDTF">2018-05-22T05:03:00Z</dcterms:created>
  <dcterms:modified xsi:type="dcterms:W3CDTF">2018-09-15T07:24:00Z</dcterms:modified>
</cp:coreProperties>
</file>