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731" w:rsidRDefault="00802731" w:rsidP="00802731">
      <w:pPr>
        <w:spacing w:line="360" w:lineRule="auto"/>
        <w:rPr>
          <w:rFonts w:ascii="Times New Roman" w:hAnsi="Times New Roman" w:cs="Times New Roman"/>
          <w:b/>
          <w:sz w:val="24"/>
          <w:szCs w:val="24"/>
        </w:rPr>
      </w:pPr>
    </w:p>
    <w:p w:rsidR="00802731" w:rsidRDefault="00802731" w:rsidP="00802731">
      <w:pPr>
        <w:spacing w:line="360" w:lineRule="auto"/>
        <w:rPr>
          <w:rFonts w:ascii="Times New Roman" w:hAnsi="Times New Roman" w:cs="Times New Roman"/>
          <w:b/>
          <w:sz w:val="24"/>
          <w:szCs w:val="24"/>
        </w:rPr>
      </w:pPr>
      <w:r>
        <w:rPr>
          <w:rFonts w:ascii="Times New Roman" w:hAnsi="Times New Roman" w:cs="Times New Roman"/>
          <w:b/>
          <w:sz w:val="24"/>
          <w:szCs w:val="24"/>
        </w:rPr>
        <w:t>Stephen Hsu, PhD.</w:t>
      </w:r>
      <w:bookmarkStart w:id="0" w:name="_GoBack"/>
      <w:bookmarkEnd w:id="0"/>
    </w:p>
    <w:p w:rsidR="0070763E" w:rsidRPr="00802731" w:rsidRDefault="00802731" w:rsidP="00D10288">
      <w:pPr>
        <w:spacing w:line="360" w:lineRule="auto"/>
        <w:jc w:val="both"/>
        <w:rPr>
          <w:rFonts w:ascii="Times New Roman" w:hAnsi="Times New Roman" w:cs="Times New Roman"/>
          <w:b/>
          <w:sz w:val="24"/>
          <w:szCs w:val="24"/>
        </w:rPr>
      </w:pPr>
      <w:r>
        <w:rPr>
          <w:rFonts w:ascii="Times New Roman" w:hAnsi="Times New Roman" w:cs="Times New Roman"/>
          <w:b/>
          <w:sz w:val="24"/>
          <w:szCs w:val="24"/>
        </w:rPr>
        <w:t>Basic and Translational R</w:t>
      </w:r>
      <w:r w:rsidRPr="00802731">
        <w:rPr>
          <w:rFonts w:ascii="Times New Roman" w:hAnsi="Times New Roman" w:cs="Times New Roman"/>
          <w:b/>
          <w:sz w:val="24"/>
          <w:szCs w:val="24"/>
        </w:rPr>
        <w:t>e</w:t>
      </w:r>
      <w:r>
        <w:rPr>
          <w:rFonts w:ascii="Times New Roman" w:hAnsi="Times New Roman" w:cs="Times New Roman"/>
          <w:b/>
          <w:sz w:val="24"/>
          <w:szCs w:val="24"/>
        </w:rPr>
        <w:t>search A</w:t>
      </w:r>
      <w:r w:rsidRPr="00802731">
        <w:rPr>
          <w:rFonts w:ascii="Times New Roman" w:hAnsi="Times New Roman" w:cs="Times New Roman"/>
          <w:b/>
          <w:sz w:val="24"/>
          <w:szCs w:val="24"/>
        </w:rPr>
        <w:t>reas</w:t>
      </w:r>
    </w:p>
    <w:p w:rsidR="00802731" w:rsidRDefault="00802731" w:rsidP="00D10288">
      <w:pPr>
        <w:spacing w:after="0" w:line="360" w:lineRule="auto"/>
        <w:jc w:val="both"/>
        <w:rPr>
          <w:rFonts w:ascii="Times New Roman" w:eastAsia="SimSun" w:hAnsi="Times New Roman" w:cs="Times New Roman"/>
          <w:color w:val="000000"/>
          <w:sz w:val="24"/>
          <w:szCs w:val="24"/>
        </w:rPr>
      </w:pPr>
      <w:r w:rsidRPr="00802731">
        <w:rPr>
          <w:rFonts w:ascii="Times New Roman" w:eastAsia="SimSun" w:hAnsi="Times New Roman" w:cs="Times New Roman"/>
          <w:color w:val="000000"/>
          <w:sz w:val="24"/>
          <w:szCs w:val="24"/>
        </w:rPr>
        <w:t>1. Mechanisms and signal transduction path</w:t>
      </w:r>
      <w:r>
        <w:rPr>
          <w:rFonts w:ascii="Times New Roman" w:eastAsia="SimSun" w:hAnsi="Times New Roman" w:cs="Times New Roman"/>
          <w:color w:val="000000"/>
          <w:sz w:val="24"/>
          <w:szCs w:val="24"/>
        </w:rPr>
        <w:t>ways associated with green tea p</w:t>
      </w:r>
      <w:r w:rsidRPr="00802731">
        <w:rPr>
          <w:rFonts w:ascii="Times New Roman" w:eastAsia="SimSun" w:hAnsi="Times New Roman" w:cs="Times New Roman"/>
          <w:color w:val="000000"/>
          <w:sz w:val="24"/>
          <w:szCs w:val="24"/>
        </w:rPr>
        <w:t xml:space="preserve">olyphenol-induced differential intracellular response in normal and malignant epithelial cells, and the application of these phytochemicals as potential </w:t>
      </w:r>
      <w:r w:rsidR="00D10288" w:rsidRPr="00802731">
        <w:rPr>
          <w:rFonts w:ascii="Times New Roman" w:eastAsia="SimSun" w:hAnsi="Times New Roman" w:cs="Times New Roman"/>
          <w:color w:val="000000"/>
          <w:sz w:val="24"/>
          <w:szCs w:val="24"/>
        </w:rPr>
        <w:t>chemo preventive</w:t>
      </w:r>
      <w:r w:rsidRPr="00802731">
        <w:rPr>
          <w:rFonts w:ascii="Times New Roman" w:eastAsia="SimSun" w:hAnsi="Times New Roman" w:cs="Times New Roman"/>
          <w:color w:val="000000"/>
          <w:sz w:val="24"/>
          <w:szCs w:val="24"/>
        </w:rPr>
        <w:t xml:space="preserve"> measure against oral and skin cancer.</w:t>
      </w:r>
      <w:r w:rsidRPr="00802731">
        <w:rPr>
          <w:rFonts w:ascii="Times New Roman" w:eastAsia="SimSun" w:hAnsi="Times New Roman" w:cs="Times New Roman"/>
          <w:color w:val="000000"/>
          <w:sz w:val="24"/>
          <w:szCs w:val="24"/>
        </w:rPr>
        <w:br/>
        <w:t>2. Beneficial properties of green tea constituents to prevent and manage s</w:t>
      </w:r>
      <w:r w:rsidR="00D10288">
        <w:rPr>
          <w:rFonts w:ascii="Times New Roman" w:eastAsia="SimSun" w:hAnsi="Times New Roman" w:cs="Times New Roman"/>
          <w:color w:val="000000"/>
          <w:sz w:val="24"/>
          <w:szCs w:val="24"/>
        </w:rPr>
        <w:t xml:space="preserve">kin diseases such as psoriasis, </w:t>
      </w:r>
      <w:r w:rsidRPr="00802731">
        <w:rPr>
          <w:rFonts w:ascii="Times New Roman" w:eastAsia="SimSun" w:hAnsi="Times New Roman" w:cs="Times New Roman"/>
          <w:color w:val="000000"/>
          <w:sz w:val="24"/>
          <w:szCs w:val="24"/>
        </w:rPr>
        <w:t>and to improve skin conditions.</w:t>
      </w:r>
      <w:r w:rsidRPr="00802731">
        <w:rPr>
          <w:rFonts w:ascii="Times New Roman" w:eastAsia="SimSun" w:hAnsi="Times New Roman" w:cs="Times New Roman"/>
          <w:color w:val="000000"/>
          <w:sz w:val="24"/>
          <w:szCs w:val="24"/>
        </w:rPr>
        <w:br/>
        <w:t>3. Potential application of green tea polyphenols in prevention and management of autoimmune dis</w:t>
      </w:r>
      <w:r>
        <w:rPr>
          <w:rFonts w:ascii="Times New Roman" w:eastAsia="SimSun" w:hAnsi="Times New Roman" w:cs="Times New Roman"/>
          <w:color w:val="000000"/>
          <w:sz w:val="24"/>
          <w:szCs w:val="24"/>
        </w:rPr>
        <w:t>orders associated with Sjogren'</w:t>
      </w:r>
      <w:r w:rsidRPr="00802731">
        <w:rPr>
          <w:rFonts w:ascii="Times New Roman" w:eastAsia="SimSun" w:hAnsi="Times New Roman" w:cs="Times New Roman"/>
          <w:color w:val="000000"/>
          <w:sz w:val="24"/>
          <w:szCs w:val="24"/>
        </w:rPr>
        <w:t>s syndrome.</w:t>
      </w:r>
    </w:p>
    <w:p w:rsidR="00802731" w:rsidRDefault="00802731" w:rsidP="00D10288">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4. Potential application of lipophilic EGCG to treat herpes simplex infections.</w:t>
      </w:r>
    </w:p>
    <w:p w:rsidR="00802731" w:rsidRPr="00802731" w:rsidRDefault="00802731" w:rsidP="00D10288">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5. Virucidal disinfectants with long-lasting effect against non-enveloped viruses.</w:t>
      </w:r>
      <w:r w:rsidRPr="00802731">
        <w:rPr>
          <w:rFonts w:ascii="Times New Roman" w:eastAsia="SimSun" w:hAnsi="Times New Roman" w:cs="Times New Roman"/>
          <w:color w:val="000000"/>
          <w:sz w:val="24"/>
          <w:szCs w:val="24"/>
        </w:rPr>
        <w:br/>
      </w:r>
    </w:p>
    <w:p w:rsidR="00802731" w:rsidRPr="00802731" w:rsidRDefault="00802731" w:rsidP="00D10288">
      <w:pPr>
        <w:spacing w:after="0" w:line="360" w:lineRule="auto"/>
        <w:jc w:val="both"/>
        <w:outlineLvl w:val="1"/>
        <w:rPr>
          <w:rFonts w:ascii="Times New Roman" w:eastAsia="SimSun" w:hAnsi="Times New Roman" w:cs="Times New Roman"/>
          <w:b/>
          <w:bCs/>
          <w:color w:val="000000"/>
          <w:sz w:val="24"/>
          <w:szCs w:val="24"/>
        </w:rPr>
      </w:pPr>
      <w:r w:rsidRPr="00802731">
        <w:rPr>
          <w:rFonts w:ascii="Times New Roman" w:eastAsia="SimSun" w:hAnsi="Times New Roman" w:cs="Times New Roman"/>
          <w:b/>
          <w:bCs/>
          <w:color w:val="000000"/>
          <w:sz w:val="24"/>
          <w:szCs w:val="24"/>
        </w:rPr>
        <w:t>Clinical Interests</w:t>
      </w:r>
    </w:p>
    <w:p w:rsidR="00802731" w:rsidRDefault="00802731" w:rsidP="00D10288">
      <w:pPr>
        <w:spacing w:after="0" w:line="360" w:lineRule="auto"/>
        <w:jc w:val="both"/>
        <w:rPr>
          <w:rFonts w:ascii="Times New Roman" w:eastAsia="SimSun" w:hAnsi="Times New Roman" w:cs="Times New Roman"/>
          <w:color w:val="000000"/>
          <w:sz w:val="24"/>
          <w:szCs w:val="24"/>
        </w:rPr>
      </w:pPr>
      <w:r w:rsidRPr="00802731">
        <w:rPr>
          <w:rFonts w:ascii="Times New Roman" w:eastAsia="SimSun" w:hAnsi="Times New Roman" w:cs="Times New Roman"/>
          <w:color w:val="000000"/>
          <w:sz w:val="24"/>
          <w:szCs w:val="24"/>
        </w:rPr>
        <w:t xml:space="preserve">1. </w:t>
      </w:r>
      <w:r>
        <w:rPr>
          <w:rFonts w:ascii="Times New Roman" w:eastAsia="SimSun" w:hAnsi="Times New Roman" w:cs="Times New Roman"/>
          <w:color w:val="000000"/>
          <w:sz w:val="24"/>
          <w:szCs w:val="24"/>
        </w:rPr>
        <w:t>Phase II c</w:t>
      </w:r>
      <w:r w:rsidRPr="00802731">
        <w:rPr>
          <w:rFonts w:ascii="Times New Roman" w:eastAsia="SimSun" w:hAnsi="Times New Roman" w:cs="Times New Roman"/>
          <w:color w:val="000000"/>
          <w:sz w:val="24"/>
          <w:szCs w:val="24"/>
        </w:rPr>
        <w:t>linical trial</w:t>
      </w:r>
      <w:r>
        <w:rPr>
          <w:rFonts w:ascii="Times New Roman" w:eastAsia="SimSun" w:hAnsi="Times New Roman" w:cs="Times New Roman"/>
          <w:color w:val="000000"/>
          <w:sz w:val="24"/>
          <w:szCs w:val="24"/>
        </w:rPr>
        <w:t xml:space="preserve"> (completed)</w:t>
      </w:r>
      <w:r w:rsidRPr="00802731">
        <w:rPr>
          <w:rFonts w:ascii="Times New Roman" w:eastAsia="SimSun" w:hAnsi="Times New Roman" w:cs="Times New Roman"/>
          <w:color w:val="000000"/>
          <w:sz w:val="24"/>
          <w:szCs w:val="24"/>
        </w:rPr>
        <w:t xml:space="preserve">: managing xerostomia </w:t>
      </w:r>
      <w:r>
        <w:rPr>
          <w:rFonts w:ascii="Times New Roman" w:eastAsia="SimSun" w:hAnsi="Times New Roman" w:cs="Times New Roman"/>
          <w:color w:val="000000"/>
          <w:sz w:val="24"/>
          <w:szCs w:val="24"/>
        </w:rPr>
        <w:t xml:space="preserve">with botanical formulation. </w:t>
      </w:r>
    </w:p>
    <w:p w:rsidR="00802731" w:rsidRDefault="00802731" w:rsidP="00D10288">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2. Phase II c</w:t>
      </w:r>
      <w:r w:rsidRPr="00802731">
        <w:rPr>
          <w:rFonts w:ascii="Times New Roman" w:eastAsia="SimSun" w:hAnsi="Times New Roman" w:cs="Times New Roman"/>
          <w:color w:val="000000"/>
          <w:sz w:val="24"/>
          <w:szCs w:val="24"/>
        </w:rPr>
        <w:t>linical trial</w:t>
      </w:r>
      <w:r>
        <w:rPr>
          <w:rFonts w:ascii="Times New Roman" w:eastAsia="SimSun" w:hAnsi="Times New Roman" w:cs="Times New Roman"/>
          <w:color w:val="000000"/>
          <w:sz w:val="24"/>
          <w:szCs w:val="24"/>
        </w:rPr>
        <w:t xml:space="preserve"> (completed)</w:t>
      </w:r>
      <w:r w:rsidRPr="00802731">
        <w:rPr>
          <w:rFonts w:ascii="Times New Roman" w:eastAsia="SimSun" w:hAnsi="Times New Roman" w:cs="Times New Roman"/>
          <w:color w:val="000000"/>
          <w:sz w:val="24"/>
          <w:szCs w:val="24"/>
        </w:rPr>
        <w:t xml:space="preserve">: treatment of herpes simplex virus infection with modified green tea catechin. </w:t>
      </w:r>
    </w:p>
    <w:p w:rsidR="00802731" w:rsidRPr="00802731" w:rsidRDefault="00802731" w:rsidP="00D10288">
      <w:pPr>
        <w:spacing w:after="0" w:line="360" w:lineRule="auto"/>
        <w:jc w:val="both"/>
        <w:rPr>
          <w:rFonts w:ascii="Times New Roman" w:eastAsia="SimSun" w:hAnsi="Times New Roman" w:cs="Times New Roman"/>
          <w:color w:val="000000"/>
          <w:sz w:val="24"/>
          <w:szCs w:val="24"/>
        </w:rPr>
      </w:pPr>
      <w:r w:rsidRPr="00802731">
        <w:rPr>
          <w:rFonts w:ascii="Times New Roman" w:eastAsia="SimSun" w:hAnsi="Times New Roman" w:cs="Times New Roman"/>
          <w:color w:val="000000"/>
          <w:sz w:val="24"/>
          <w:szCs w:val="24"/>
        </w:rPr>
        <w:t>3. Clinical study: modified green tea polyphenols for controlling dandruff</w:t>
      </w:r>
      <w:r>
        <w:rPr>
          <w:rFonts w:ascii="Times New Roman" w:eastAsia="SimSun" w:hAnsi="Times New Roman" w:cs="Times New Roman"/>
          <w:color w:val="000000"/>
          <w:sz w:val="24"/>
          <w:szCs w:val="24"/>
        </w:rPr>
        <w:t>.</w:t>
      </w:r>
    </w:p>
    <w:p w:rsidR="00802731" w:rsidRDefault="00802731"/>
    <w:p w:rsidR="00D10288" w:rsidRDefault="00D10288"/>
    <w:p w:rsidR="00D10288" w:rsidRDefault="00D10288" w:rsidP="00D10288">
      <w:pPr>
        <w:jc w:val="both"/>
        <w:rPr>
          <w:color w:val="000000"/>
        </w:rPr>
      </w:pPr>
    </w:p>
    <w:p w:rsidR="00D10288" w:rsidRDefault="00D10288" w:rsidP="00D10288">
      <w:pPr>
        <w:jc w:val="both"/>
        <w:rPr>
          <w:b/>
        </w:rPr>
      </w:pPr>
    </w:p>
    <w:p w:rsidR="00D10288" w:rsidRDefault="00D10288" w:rsidP="00D10288">
      <w:pPr>
        <w:jc w:val="both"/>
        <w:rPr>
          <w:b/>
        </w:rPr>
      </w:pPr>
    </w:p>
    <w:p w:rsidR="00D10288" w:rsidRDefault="00D10288" w:rsidP="00D10288">
      <w:pPr>
        <w:jc w:val="both"/>
        <w:rPr>
          <w:b/>
        </w:rPr>
      </w:pPr>
    </w:p>
    <w:p w:rsidR="00D10288" w:rsidRDefault="00D10288" w:rsidP="00D10288">
      <w:pPr>
        <w:jc w:val="both"/>
        <w:rPr>
          <w:b/>
        </w:rPr>
      </w:pPr>
    </w:p>
    <w:p w:rsidR="00D10288" w:rsidRDefault="00D10288" w:rsidP="00D10288">
      <w:pPr>
        <w:jc w:val="both"/>
        <w:rPr>
          <w:b/>
        </w:rPr>
      </w:pPr>
      <w:r>
        <w:rPr>
          <w:noProof/>
          <w:lang w:eastAsia="en-US"/>
        </w:rPr>
        <w:lastRenderedPageBreak/>
        <w:drawing>
          <wp:inline distT="0" distB="0" distL="0" distR="0" wp14:anchorId="115EA5E6" wp14:editId="770F2AB7">
            <wp:extent cx="1238250" cy="1304925"/>
            <wp:effectExtent l="0" t="0" r="0" b="9525"/>
            <wp:docPr id="1" name="Picture 1" descr="dcg-faculty-compo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g-faculty-compos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1304925"/>
                    </a:xfrm>
                    <a:prstGeom prst="rect">
                      <a:avLst/>
                    </a:prstGeom>
                    <a:noFill/>
                    <a:ln>
                      <a:noFill/>
                    </a:ln>
                  </pic:spPr>
                </pic:pic>
              </a:graphicData>
            </a:graphic>
          </wp:inline>
        </w:drawing>
      </w:r>
    </w:p>
    <w:p w:rsidR="00D10288" w:rsidRDefault="00D10288" w:rsidP="00D10288">
      <w:pPr>
        <w:jc w:val="both"/>
        <w:rPr>
          <w:b/>
        </w:rPr>
      </w:pPr>
      <w:r>
        <w:rPr>
          <w:b/>
        </w:rPr>
        <w:t>Biography</w:t>
      </w:r>
    </w:p>
    <w:p w:rsidR="00D10288" w:rsidRDefault="00D10288" w:rsidP="00D10288">
      <w:pPr>
        <w:jc w:val="both"/>
      </w:pPr>
      <w:r>
        <w:t>Dr. Stephen Hsu earned a bachelor’s degree from Wuhan University in China, a Master of Arts degree from Montclair State University and Ph.D. degree from the University of Cincinnati. He spent four years at Memorial Sloan-Kettering Cancer Center before joining the Medical College of Georgia (now part of Augusta University). He is well-recognized in translational research and inventions on the benefits of green tea polyphenols, with more than 60 publications. Dr. Hsu’s research is supported by grants from NIH, US Army, and other funding agencies. He is a frequent speaker at various CE courses, and domestic and international conferences.</w:t>
      </w:r>
    </w:p>
    <w:p w:rsidR="00D10288" w:rsidRDefault="00D10288" w:rsidP="00D10288">
      <w:r>
        <w:t xml:space="preserve">                                                                               </w:t>
      </w:r>
      <w:r>
        <w:t xml:space="preserve">                                                        </w:t>
      </w:r>
      <w:r>
        <w:rPr>
          <w:color w:val="000000"/>
          <w:sz w:val="27"/>
          <w:szCs w:val="27"/>
        </w:rPr>
        <w:t>syliu@mdanderson.org</w:t>
      </w:r>
    </w:p>
    <w:p w:rsidR="00D10288" w:rsidRDefault="00D10288" w:rsidP="00D10288">
      <w:r>
        <w:t xml:space="preserve">                                                                                                                            </w:t>
      </w:r>
      <w:r>
        <w:t xml:space="preserve">                                                                                                               </w:t>
      </w:r>
      <w:r>
        <w:t xml:space="preserve">                                          </w:t>
      </w:r>
    </w:p>
    <w:p w:rsidR="00D10288" w:rsidRDefault="00D10288"/>
    <w:sectPr w:rsidR="00D10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731"/>
    <w:rsid w:val="00116535"/>
    <w:rsid w:val="002A7EC3"/>
    <w:rsid w:val="00802731"/>
    <w:rsid w:val="00C110A7"/>
    <w:rsid w:val="00D10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2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2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Hsu, Stephen</dc:creator>
  <cp:lastModifiedBy>Global Pharmacist 2016</cp:lastModifiedBy>
  <cp:revision>2</cp:revision>
  <dcterms:created xsi:type="dcterms:W3CDTF">2017-06-30T07:39:00Z</dcterms:created>
  <dcterms:modified xsi:type="dcterms:W3CDTF">2017-06-30T07:39:00Z</dcterms:modified>
</cp:coreProperties>
</file>