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AD9E3" w14:textId="434AB1F1" w:rsidR="00054690" w:rsidRPr="00054690" w:rsidRDefault="00054690" w:rsidP="00054690">
      <w:pPr>
        <w:spacing w:after="0"/>
        <w:ind w:left="-5" w:hanging="10"/>
        <w:jc w:val="center"/>
        <w:rPr>
          <w:rFonts w:ascii="Times New Roman" w:eastAsia="Times New Roman" w:hAnsi="Times New Roman" w:cs="Times New Roman"/>
          <w:b/>
          <w:sz w:val="24"/>
        </w:rPr>
      </w:pPr>
      <w:r w:rsidRPr="00054690">
        <w:rPr>
          <w:rFonts w:ascii="Times New Roman" w:eastAsia="Times New Roman" w:hAnsi="Times New Roman" w:cs="Times New Roman"/>
          <w:b/>
          <w:sz w:val="24"/>
        </w:rPr>
        <w:t>BIOCHEMICAL AND TOXICOLOGICAL EFFECTS OF ORALLY ADMINISTERED METHANOL EXTRACTS OF</w:t>
      </w:r>
      <w:r w:rsidRPr="00054690">
        <w:rPr>
          <w:rFonts w:ascii="Times New Roman" w:hAnsi="Times New Roman" w:cs="Times New Roman"/>
        </w:rPr>
        <w:t xml:space="preserve"> </w:t>
      </w:r>
      <w:r w:rsidRPr="00054690">
        <w:rPr>
          <w:rFonts w:ascii="Times New Roman" w:hAnsi="Times New Roman" w:cs="Times New Roman"/>
          <w:b/>
          <w:bCs/>
        </w:rPr>
        <w:t>CANNABIS</w:t>
      </w:r>
      <w:r w:rsidRPr="00054690">
        <w:rPr>
          <w:rFonts w:ascii="Times New Roman" w:eastAsia="Times New Roman" w:hAnsi="Times New Roman" w:cs="Times New Roman"/>
          <w:b/>
          <w:bCs/>
          <w:i/>
          <w:sz w:val="24"/>
          <w:u w:val="single" w:color="000000"/>
        </w:rPr>
        <w:t xml:space="preserve"> </w:t>
      </w:r>
      <w:r w:rsidRPr="00054690">
        <w:rPr>
          <w:rFonts w:ascii="Times New Roman" w:eastAsia="Times New Roman" w:hAnsi="Times New Roman" w:cs="Times New Roman"/>
          <w:b/>
          <w:i/>
          <w:sz w:val="24"/>
          <w:u w:val="single" w:color="000000"/>
        </w:rPr>
        <w:t>SATIVA</w:t>
      </w:r>
      <w:r w:rsidRPr="00054690">
        <w:rPr>
          <w:rFonts w:ascii="Times New Roman" w:eastAsia="Times New Roman" w:hAnsi="Times New Roman" w:cs="Times New Roman"/>
          <w:b/>
          <w:sz w:val="24"/>
        </w:rPr>
        <w:t xml:space="preserve"> SEEDS</w:t>
      </w:r>
      <w:bookmarkStart w:id="0" w:name="_GoBack"/>
      <w:bookmarkEnd w:id="0"/>
    </w:p>
    <w:p w14:paraId="6154C15A" w14:textId="77777777" w:rsidR="00054690" w:rsidRPr="00054690" w:rsidRDefault="00054690" w:rsidP="00054690">
      <w:pPr>
        <w:spacing w:after="0"/>
        <w:ind w:left="-5" w:hanging="10"/>
        <w:jc w:val="center"/>
        <w:rPr>
          <w:rFonts w:ascii="Times New Roman" w:hAnsi="Times New Roman" w:cs="Times New Roman"/>
        </w:rPr>
      </w:pPr>
    </w:p>
    <w:p w14:paraId="222AEE13" w14:textId="0F148624" w:rsidR="006A1242" w:rsidRDefault="00FC661F" w:rsidP="00054690">
      <w:pPr>
        <w:spacing w:after="117"/>
        <w:ind w:right="1"/>
        <w:jc w:val="center"/>
      </w:pP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Bruno O. </w:t>
      </w:r>
      <w:proofErr w:type="spellStart"/>
      <w:r>
        <w:rPr>
          <w:rFonts w:ascii="Times New Roman" w:eastAsia="Times New Roman" w:hAnsi="Times New Roman" w:cs="Times New Roman"/>
          <w:sz w:val="24"/>
        </w:rPr>
        <w:t>Onyemegbulem</w:t>
      </w:r>
      <w:proofErr w:type="spellEnd"/>
      <w:r>
        <w:rPr>
          <w:rFonts w:ascii="Times New Roman" w:eastAsia="Times New Roman" w:hAnsi="Times New Roman" w:cs="Times New Roman"/>
          <w:sz w:val="24"/>
        </w:rPr>
        <w:t>,</w:t>
      </w:r>
      <w:r w:rsidRPr="00FC661F">
        <w:rPr>
          <w:rFonts w:ascii="Times New Roman" w:eastAsia="Times New Roman" w:hAnsi="Times New Roman" w:cs="Times New Roman"/>
          <w:sz w:val="24"/>
          <w:vertAlign w:val="superscript"/>
        </w:rPr>
        <w:t xml:space="preserve"> </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xml:space="preserve">J.C </w:t>
      </w:r>
      <w:proofErr w:type="spellStart"/>
      <w:r>
        <w:rPr>
          <w:rFonts w:ascii="Times New Roman" w:eastAsia="Times New Roman" w:hAnsi="Times New Roman" w:cs="Times New Roman"/>
          <w:sz w:val="24"/>
        </w:rPr>
        <w:t>Aguiyi</w:t>
      </w:r>
      <w:proofErr w:type="spellEnd"/>
      <w:r>
        <w:t xml:space="preserve">, </w:t>
      </w:r>
      <w:r>
        <w:rPr>
          <w:rFonts w:ascii="Times New Roman" w:eastAsia="Times New Roman" w:hAnsi="Times New Roman" w:cs="Times New Roman"/>
          <w:sz w:val="24"/>
          <w:vertAlign w:val="superscript"/>
        </w:rPr>
        <w:t>3</w:t>
      </w:r>
      <w:r w:rsidR="006A1242">
        <w:rPr>
          <w:rFonts w:ascii="Times New Roman" w:eastAsia="Times New Roman" w:hAnsi="Times New Roman" w:cs="Times New Roman"/>
          <w:sz w:val="24"/>
        </w:rPr>
        <w:t xml:space="preserve">Onunekwu O. Charles, </w:t>
      </w:r>
      <w:r>
        <w:rPr>
          <w:rFonts w:ascii="Times New Roman" w:eastAsia="Times New Roman" w:hAnsi="Times New Roman" w:cs="Times New Roman"/>
          <w:sz w:val="24"/>
          <w:vertAlign w:val="superscript"/>
        </w:rPr>
        <w:t>4</w:t>
      </w:r>
      <w:r w:rsidR="006A1242">
        <w:rPr>
          <w:rFonts w:ascii="Times New Roman" w:eastAsia="Times New Roman" w:hAnsi="Times New Roman" w:cs="Times New Roman"/>
          <w:sz w:val="24"/>
        </w:rPr>
        <w:t xml:space="preserve">Yusuf, N. </w:t>
      </w:r>
      <w:proofErr w:type="spellStart"/>
      <w:r w:rsidR="006A1242">
        <w:rPr>
          <w:rFonts w:ascii="Times New Roman" w:eastAsia="Times New Roman" w:hAnsi="Times New Roman" w:cs="Times New Roman"/>
          <w:sz w:val="24"/>
        </w:rPr>
        <w:t>Omeh</w:t>
      </w:r>
      <w:proofErr w:type="spellEnd"/>
      <w:r w:rsidR="006A1242">
        <w:rPr>
          <w:rFonts w:ascii="Times New Roman" w:eastAsia="Times New Roman" w:hAnsi="Times New Roman" w:cs="Times New Roman"/>
          <w:sz w:val="24"/>
        </w:rPr>
        <w:t xml:space="preserve">. </w:t>
      </w:r>
    </w:p>
    <w:p w14:paraId="3EE6A44F" w14:textId="2A7B653E" w:rsidR="00C80426" w:rsidRDefault="00C80426" w:rsidP="006A1242">
      <w:pPr>
        <w:spacing w:after="148" w:line="248" w:lineRule="auto"/>
        <w:ind w:left="730" w:right="5" w:hanging="10"/>
        <w:rPr>
          <w:rFonts w:ascii="Times New Roman" w:eastAsia="Times New Roman" w:hAnsi="Times New Roman" w:cs="Times New Roman"/>
          <w:sz w:val="24"/>
        </w:rPr>
      </w:pPr>
      <w:r>
        <w:rPr>
          <w:rFonts w:ascii="Times New Roman" w:eastAsia="Times New Roman" w:hAnsi="Times New Roman" w:cs="Times New Roman"/>
          <w:sz w:val="24"/>
          <w:vertAlign w:val="superscript"/>
        </w:rPr>
        <w:t>1</w:t>
      </w:r>
      <w:r w:rsidR="006A1242">
        <w:rPr>
          <w:rFonts w:ascii="Times New Roman" w:eastAsia="Times New Roman" w:hAnsi="Times New Roman" w:cs="Times New Roman"/>
          <w:sz w:val="24"/>
          <w:vertAlign w:val="superscript"/>
        </w:rPr>
        <w:t>,</w:t>
      </w:r>
      <w:r>
        <w:rPr>
          <w:rFonts w:ascii="Times New Roman" w:eastAsia="Times New Roman" w:hAnsi="Times New Roman" w:cs="Times New Roman"/>
          <w:sz w:val="24"/>
          <w:vertAlign w:val="superscript"/>
        </w:rPr>
        <w:t>2</w:t>
      </w:r>
      <w:r w:rsidR="006A1242">
        <w:rPr>
          <w:rFonts w:ascii="Times New Roman" w:eastAsia="Times New Roman" w:hAnsi="Times New Roman" w:cs="Times New Roman"/>
          <w:sz w:val="24"/>
        </w:rPr>
        <w:t>African Centre of Excellence in Phytomedicine Research and Development University of Jos, Nigeria</w:t>
      </w:r>
    </w:p>
    <w:p w14:paraId="63FC0A65" w14:textId="0E6829F5" w:rsidR="006A1242" w:rsidRDefault="00C80426" w:rsidP="006A1242">
      <w:pPr>
        <w:spacing w:after="148" w:line="248" w:lineRule="auto"/>
        <w:ind w:left="730" w:right="5" w:hanging="10"/>
      </w:pPr>
      <w:r>
        <w:rPr>
          <w:rFonts w:ascii="Times New Roman" w:eastAsia="Times New Roman" w:hAnsi="Times New Roman" w:cs="Times New Roman"/>
          <w:sz w:val="24"/>
          <w:vertAlign w:val="superscript"/>
        </w:rPr>
        <w:t xml:space="preserve">3,4 </w:t>
      </w:r>
      <w:r>
        <w:rPr>
          <w:rFonts w:ascii="Times New Roman" w:eastAsia="Times New Roman" w:hAnsi="Times New Roman" w:cs="Times New Roman"/>
          <w:sz w:val="24"/>
        </w:rPr>
        <w:t xml:space="preserve">Michael Okpara University of Agriculture </w:t>
      </w:r>
      <w:proofErr w:type="spellStart"/>
      <w:proofErr w:type="gramStart"/>
      <w:r>
        <w:rPr>
          <w:rFonts w:ascii="Times New Roman" w:eastAsia="Times New Roman" w:hAnsi="Times New Roman" w:cs="Times New Roman"/>
          <w:sz w:val="24"/>
        </w:rPr>
        <w:t>Umudike,Nigeria</w:t>
      </w:r>
      <w:proofErr w:type="spellEnd"/>
      <w:proofErr w:type="gramEnd"/>
      <w:r w:rsidR="006A1242">
        <w:rPr>
          <w:rFonts w:ascii="Times New Roman" w:eastAsia="Times New Roman" w:hAnsi="Times New Roman" w:cs="Times New Roman"/>
          <w:sz w:val="24"/>
        </w:rPr>
        <w:t xml:space="preserve"> </w:t>
      </w:r>
    </w:p>
    <w:p w14:paraId="5727A712" w14:textId="2BC303EC" w:rsidR="006A1242" w:rsidRDefault="006A1242" w:rsidP="00FC661F">
      <w:pPr>
        <w:spacing w:after="212"/>
        <w:ind w:left="720"/>
        <w:jc w:val="center"/>
      </w:pPr>
      <w:r>
        <w:rPr>
          <w:rFonts w:ascii="Times New Roman" w:eastAsia="Times New Roman" w:hAnsi="Times New Roman" w:cs="Times New Roman"/>
          <w:color w:val="0563C1"/>
          <w:sz w:val="24"/>
        </w:rPr>
        <w:t>brunomaths1@yahoo.com</w:t>
      </w:r>
    </w:p>
    <w:p w14:paraId="27414A56" w14:textId="77777777" w:rsidR="006A1242" w:rsidRDefault="006A1242" w:rsidP="006A1242">
      <w:pPr>
        <w:pStyle w:val="Heading1"/>
        <w:spacing w:after="249"/>
        <w:ind w:left="-5"/>
      </w:pPr>
      <w:r>
        <w:t xml:space="preserve">                                                                ABSTRACT </w:t>
      </w:r>
    </w:p>
    <w:p w14:paraId="0ECD9532" w14:textId="264C99A1" w:rsidR="006A1242" w:rsidRDefault="006A1242" w:rsidP="006A1242">
      <w:pPr>
        <w:spacing w:after="5" w:line="240" w:lineRule="auto"/>
        <w:ind w:left="-5" w:right="-9" w:hanging="10"/>
        <w:jc w:val="both"/>
      </w:pPr>
      <w:r>
        <w:rPr>
          <w:rFonts w:ascii="Times New Roman" w:eastAsia="Times New Roman" w:hAnsi="Times New Roman" w:cs="Times New Roman"/>
          <w:sz w:val="24"/>
        </w:rPr>
        <w:t xml:space="preserve">In this paper we studied the toxic effects of oral administration of methanol extract of cannabis sativa seeds using total of forty male Wistar Rats. Animals randomized were into five groups (n=8rats) of approximately equal weight. Group 1 received 100mg/kg of the of the extract, group 2 received 200mg/kg of the extract, group 3 received 300mg/kg dosage of the extract, group 4 received 2ml of virgin olive oil (vehicle control) and group 5 received distilled water (normal control) for 14 days. The rationale behind the vehicle control group is to show that the vehicle did not have any extra cytological/ histological effect. The proximate properties show: moisture content (6.69 </w:t>
      </w:r>
      <w:r>
        <w:rPr>
          <w:rFonts w:ascii="Cambria Math" w:eastAsia="Cambria Math" w:hAnsi="Cambria Math" w:cs="Cambria Math"/>
          <w:sz w:val="24"/>
        </w:rPr>
        <w:t>±0.14%</w:t>
      </w:r>
      <w:r>
        <w:rPr>
          <w:rFonts w:ascii="Times New Roman" w:eastAsia="Times New Roman" w:hAnsi="Times New Roman" w:cs="Times New Roman"/>
          <w:sz w:val="24"/>
        </w:rPr>
        <w:t>), protein content (19.10</w:t>
      </w:r>
      <w:r>
        <w:rPr>
          <w:rFonts w:ascii="Cambria Math" w:eastAsia="Cambria Math" w:hAnsi="Cambria Math" w:cs="Cambria Math"/>
          <w:sz w:val="24"/>
        </w:rPr>
        <w:t>±0.01%</w:t>
      </w:r>
      <w:r>
        <w:rPr>
          <w:rFonts w:ascii="Times New Roman" w:eastAsia="Times New Roman" w:hAnsi="Times New Roman" w:cs="Times New Roman"/>
          <w:sz w:val="24"/>
        </w:rPr>
        <w:t>), ash content (11.84</w:t>
      </w:r>
      <w:r>
        <w:rPr>
          <w:rFonts w:ascii="Cambria Math" w:eastAsia="Cambria Math" w:hAnsi="Cambria Math" w:cs="Cambria Math"/>
          <w:sz w:val="24"/>
        </w:rPr>
        <w:t>±0.02%</w:t>
      </w:r>
      <w:r>
        <w:rPr>
          <w:rFonts w:ascii="Times New Roman" w:eastAsia="Times New Roman" w:hAnsi="Times New Roman" w:cs="Times New Roman"/>
          <w:sz w:val="24"/>
        </w:rPr>
        <w:t>), fat (19.33</w:t>
      </w:r>
      <w:r>
        <w:rPr>
          <w:rFonts w:ascii="Cambria Math" w:eastAsia="Cambria Math" w:hAnsi="Cambria Math" w:cs="Cambria Math"/>
          <w:sz w:val="24"/>
        </w:rPr>
        <w:t>±0.00%</w:t>
      </w:r>
      <w:r>
        <w:rPr>
          <w:rFonts w:ascii="Times New Roman" w:eastAsia="Times New Roman" w:hAnsi="Times New Roman" w:cs="Times New Roman"/>
          <w:sz w:val="24"/>
        </w:rPr>
        <w:t xml:space="preserve">), crude </w:t>
      </w:r>
      <w:proofErr w:type="spellStart"/>
      <w:r>
        <w:rPr>
          <w:rFonts w:ascii="Times New Roman" w:eastAsia="Times New Roman" w:hAnsi="Times New Roman" w:cs="Times New Roman"/>
          <w:sz w:val="24"/>
        </w:rPr>
        <w:t>fibre</w:t>
      </w:r>
      <w:proofErr w:type="spellEnd"/>
      <w:r>
        <w:rPr>
          <w:rFonts w:ascii="Times New Roman" w:eastAsia="Times New Roman" w:hAnsi="Times New Roman" w:cs="Times New Roman"/>
          <w:sz w:val="24"/>
        </w:rPr>
        <w:t xml:space="preserve"> (18.87</w:t>
      </w:r>
      <w:r>
        <w:rPr>
          <w:rFonts w:ascii="Cambria Math" w:eastAsia="Cambria Math" w:hAnsi="Cambria Math" w:cs="Cambria Math"/>
          <w:sz w:val="24"/>
        </w:rPr>
        <w:t>±0.00%</w:t>
      </w:r>
      <w:r>
        <w:rPr>
          <w:rFonts w:ascii="Times New Roman" w:eastAsia="Times New Roman" w:hAnsi="Times New Roman" w:cs="Times New Roman"/>
          <w:sz w:val="24"/>
        </w:rPr>
        <w:t>), carbohydrate (43.04%), dry matter (80.91</w:t>
      </w:r>
      <w:r>
        <w:rPr>
          <w:rFonts w:ascii="Cambria Math" w:eastAsia="Cambria Math" w:hAnsi="Cambria Math" w:cs="Cambria Math"/>
          <w:sz w:val="24"/>
        </w:rPr>
        <w:t>±0.14%</w:t>
      </w:r>
      <w:r>
        <w:rPr>
          <w:rFonts w:ascii="Times New Roman" w:eastAsia="Times New Roman" w:hAnsi="Times New Roman" w:cs="Times New Roman"/>
          <w:sz w:val="24"/>
        </w:rPr>
        <w:t>) and oil absorption capacity (1.87</w:t>
      </w:r>
      <w:r>
        <w:rPr>
          <w:rFonts w:ascii="Cambria Math" w:eastAsia="Cambria Math" w:hAnsi="Cambria Math" w:cs="Cambria Math"/>
          <w:sz w:val="24"/>
        </w:rPr>
        <w:t>±0.00%</w:t>
      </w:r>
      <w:r>
        <w:rPr>
          <w:rFonts w:ascii="Times New Roman" w:eastAsia="Times New Roman" w:hAnsi="Times New Roman" w:cs="Times New Roman"/>
          <w:sz w:val="24"/>
        </w:rPr>
        <w:t>). The antinutrients were as follows: alkaloids (3.15</w:t>
      </w:r>
      <w:r>
        <w:rPr>
          <w:rFonts w:ascii="Cambria Math" w:eastAsia="Cambria Math" w:hAnsi="Cambria Math" w:cs="Cambria Math"/>
          <w:sz w:val="24"/>
        </w:rPr>
        <w:t>±0.01mg/100g</w:t>
      </w:r>
      <w:r>
        <w:rPr>
          <w:rFonts w:ascii="Times New Roman" w:eastAsia="Times New Roman" w:hAnsi="Times New Roman" w:cs="Times New Roman"/>
          <w:sz w:val="24"/>
        </w:rPr>
        <w:t>), flavonoids (2.82</w:t>
      </w:r>
      <w:r>
        <w:rPr>
          <w:rFonts w:ascii="Cambria Math" w:eastAsia="Cambria Math" w:hAnsi="Cambria Math" w:cs="Cambria Math"/>
          <w:sz w:val="24"/>
        </w:rPr>
        <w:t>±0.01mg/100g</w:t>
      </w:r>
      <w:r>
        <w:rPr>
          <w:rFonts w:ascii="Times New Roman" w:eastAsia="Times New Roman" w:hAnsi="Times New Roman" w:cs="Times New Roman"/>
          <w:sz w:val="24"/>
        </w:rPr>
        <w:t>), saponins (6.10</w:t>
      </w:r>
      <w:r>
        <w:rPr>
          <w:rFonts w:ascii="Cambria Math" w:eastAsia="Cambria Math" w:hAnsi="Cambria Math" w:cs="Cambria Math"/>
          <w:sz w:val="24"/>
        </w:rPr>
        <w:t>±0.01%</w:t>
      </w:r>
      <w:r>
        <w:rPr>
          <w:rFonts w:ascii="Times New Roman" w:eastAsia="Times New Roman" w:hAnsi="Times New Roman" w:cs="Times New Roman"/>
          <w:sz w:val="24"/>
        </w:rPr>
        <w:t>), tannins (2.14</w:t>
      </w:r>
      <w:r>
        <w:rPr>
          <w:rFonts w:ascii="Cambria Math" w:eastAsia="Cambria Math" w:hAnsi="Cambria Math" w:cs="Cambria Math"/>
          <w:sz w:val="24"/>
        </w:rPr>
        <w:t>±0.01mg/100g</w:t>
      </w:r>
      <w:r>
        <w:rPr>
          <w:rFonts w:ascii="Times New Roman" w:eastAsia="Times New Roman" w:hAnsi="Times New Roman" w:cs="Times New Roman"/>
          <w:sz w:val="24"/>
        </w:rPr>
        <w:t>), cyanogenic glycosides (0.10</w:t>
      </w:r>
      <w:r>
        <w:rPr>
          <w:rFonts w:ascii="Cambria Math" w:eastAsia="Cambria Math" w:hAnsi="Cambria Math" w:cs="Cambria Math"/>
          <w:sz w:val="24"/>
        </w:rPr>
        <w:t>±0.01mg/100g</w:t>
      </w:r>
      <w:r>
        <w:rPr>
          <w:rFonts w:ascii="Times New Roman" w:eastAsia="Times New Roman" w:hAnsi="Times New Roman" w:cs="Times New Roman"/>
          <w:sz w:val="24"/>
        </w:rPr>
        <w:t>) and phenols (0.27</w:t>
      </w:r>
      <w:r>
        <w:rPr>
          <w:rFonts w:ascii="Cambria Math" w:eastAsia="Cambria Math" w:hAnsi="Cambria Math" w:cs="Cambria Math"/>
          <w:sz w:val="24"/>
        </w:rPr>
        <w:t>±0.01mg/100g</w:t>
      </w:r>
      <w:r>
        <w:rPr>
          <w:rFonts w:ascii="Times New Roman" w:eastAsia="Times New Roman" w:hAnsi="Times New Roman" w:cs="Times New Roman"/>
          <w:sz w:val="24"/>
        </w:rPr>
        <w:t>). The mineral content of the sample were potassium (13.73</w:t>
      </w:r>
      <w:r>
        <w:rPr>
          <w:rFonts w:ascii="Cambria Math" w:eastAsia="Cambria Math" w:hAnsi="Cambria Math" w:cs="Cambria Math"/>
          <w:sz w:val="24"/>
        </w:rPr>
        <w:t>±0.01mg/100g</w:t>
      </w:r>
      <w:r>
        <w:rPr>
          <w:rFonts w:ascii="Times New Roman" w:eastAsia="Times New Roman" w:hAnsi="Times New Roman" w:cs="Times New Roman"/>
          <w:sz w:val="24"/>
        </w:rPr>
        <w:t>), phosphorus (10.00</w:t>
      </w:r>
      <w:r>
        <w:rPr>
          <w:rFonts w:ascii="Cambria Math" w:eastAsia="Cambria Math" w:hAnsi="Cambria Math" w:cs="Cambria Math"/>
          <w:sz w:val="24"/>
        </w:rPr>
        <w:t>±0.02mg/100g</w:t>
      </w:r>
      <w:r>
        <w:rPr>
          <w:rFonts w:ascii="Times New Roman" w:eastAsia="Times New Roman" w:hAnsi="Times New Roman" w:cs="Times New Roman"/>
          <w:sz w:val="24"/>
        </w:rPr>
        <w:t>), sodium (17.53</w:t>
      </w:r>
      <w:r>
        <w:rPr>
          <w:rFonts w:ascii="Cambria Math" w:eastAsia="Cambria Math" w:hAnsi="Cambria Math" w:cs="Cambria Math"/>
          <w:sz w:val="24"/>
        </w:rPr>
        <w:t>±0.01mg/100g</w:t>
      </w:r>
      <w:r>
        <w:rPr>
          <w:rFonts w:ascii="Times New Roman" w:eastAsia="Times New Roman" w:hAnsi="Times New Roman" w:cs="Times New Roman"/>
          <w:sz w:val="24"/>
        </w:rPr>
        <w:t>), calcium (14.65</w:t>
      </w:r>
      <w:r>
        <w:rPr>
          <w:rFonts w:ascii="Cambria Math" w:eastAsia="Cambria Math" w:hAnsi="Cambria Math" w:cs="Cambria Math"/>
          <w:sz w:val="24"/>
        </w:rPr>
        <w:t>±0.01mg/100g</w:t>
      </w:r>
      <w:r>
        <w:rPr>
          <w:rFonts w:ascii="Times New Roman" w:eastAsia="Times New Roman" w:hAnsi="Times New Roman" w:cs="Times New Roman"/>
          <w:sz w:val="24"/>
        </w:rPr>
        <w:t>), magnesium (09.67</w:t>
      </w:r>
      <w:r>
        <w:rPr>
          <w:rFonts w:ascii="Cambria Math" w:eastAsia="Cambria Math" w:hAnsi="Cambria Math" w:cs="Cambria Math"/>
          <w:sz w:val="24"/>
        </w:rPr>
        <w:t>±</w:t>
      </w:r>
      <w:r>
        <w:rPr>
          <w:rFonts w:ascii="Times New Roman" w:eastAsia="Times New Roman" w:hAnsi="Times New Roman" w:cs="Times New Roman"/>
          <w:sz w:val="24"/>
        </w:rPr>
        <w:t>0.01mg/100g), zinc (2.00</w:t>
      </w:r>
      <w:r>
        <w:rPr>
          <w:rFonts w:ascii="Cambria Math" w:eastAsia="Cambria Math" w:hAnsi="Cambria Math" w:cs="Cambria Math"/>
          <w:sz w:val="24"/>
        </w:rPr>
        <w:t>±0.01mg/100g</w:t>
      </w:r>
      <w:r>
        <w:rPr>
          <w:rFonts w:ascii="Times New Roman" w:eastAsia="Times New Roman" w:hAnsi="Times New Roman" w:cs="Times New Roman"/>
          <w:sz w:val="24"/>
        </w:rPr>
        <w:t>) and Iron (1.00</w:t>
      </w:r>
      <w:r>
        <w:rPr>
          <w:rFonts w:ascii="Cambria Math" w:eastAsia="Cambria Math" w:hAnsi="Cambria Math" w:cs="Cambria Math"/>
          <w:sz w:val="24"/>
        </w:rPr>
        <w:t>±0.01mg/100g</w:t>
      </w:r>
      <w:r>
        <w:rPr>
          <w:rFonts w:ascii="Times New Roman" w:eastAsia="Times New Roman" w:hAnsi="Times New Roman" w:cs="Times New Roman"/>
          <w:sz w:val="24"/>
        </w:rPr>
        <w:t>). Result for AST was significantly (p&lt;0.05) higher in group 2 (57.00</w:t>
      </w:r>
      <w:r>
        <w:rPr>
          <w:rFonts w:ascii="Cambria Math" w:eastAsia="Cambria Math" w:hAnsi="Cambria Math" w:cs="Cambria Math"/>
          <w:sz w:val="24"/>
        </w:rPr>
        <w:t>±13.00IU/L</w:t>
      </w:r>
      <w:r>
        <w:rPr>
          <w:rFonts w:ascii="Times New Roman" w:eastAsia="Times New Roman" w:hAnsi="Times New Roman" w:cs="Times New Roman"/>
          <w:sz w:val="24"/>
        </w:rPr>
        <w:t>) and group 3 (59.33</w:t>
      </w:r>
      <w:r>
        <w:rPr>
          <w:rFonts w:ascii="Cambria Math" w:eastAsia="Cambria Math" w:hAnsi="Cambria Math" w:cs="Cambria Math"/>
          <w:sz w:val="24"/>
        </w:rPr>
        <w:t>±10.53IU/L</w:t>
      </w:r>
      <w:r>
        <w:rPr>
          <w:rFonts w:ascii="Times New Roman" w:eastAsia="Times New Roman" w:hAnsi="Times New Roman" w:cs="Times New Roman"/>
          <w:sz w:val="24"/>
        </w:rPr>
        <w:t>), when compared with the normal control group 5 (31.33</w:t>
      </w:r>
      <w:r>
        <w:rPr>
          <w:rFonts w:ascii="Cambria Math" w:eastAsia="Cambria Math" w:hAnsi="Cambria Math" w:cs="Cambria Math"/>
          <w:sz w:val="24"/>
        </w:rPr>
        <w:t>±1.53 IU/L</w:t>
      </w:r>
      <w:r>
        <w:rPr>
          <w:rFonts w:ascii="Times New Roman" w:eastAsia="Times New Roman" w:hAnsi="Times New Roman" w:cs="Times New Roman"/>
          <w:sz w:val="24"/>
        </w:rPr>
        <w:t>). Significantly (p&lt;0.05) higher serum ALT was observed in treatment group 2 (50.00</w:t>
      </w:r>
      <w:r>
        <w:rPr>
          <w:rFonts w:ascii="Cambria Math" w:eastAsia="Cambria Math" w:hAnsi="Cambria Math" w:cs="Cambria Math"/>
          <w:sz w:val="24"/>
        </w:rPr>
        <w:t>±12.52IU/L</w:t>
      </w:r>
      <w:r>
        <w:rPr>
          <w:rFonts w:ascii="Times New Roman" w:eastAsia="Times New Roman" w:hAnsi="Times New Roman" w:cs="Times New Roman"/>
          <w:sz w:val="24"/>
        </w:rPr>
        <w:t>) and group 3 (56.33</w:t>
      </w:r>
      <w:r>
        <w:rPr>
          <w:rFonts w:ascii="Cambria Math" w:eastAsia="Cambria Math" w:hAnsi="Cambria Math" w:cs="Cambria Math"/>
          <w:sz w:val="24"/>
        </w:rPr>
        <w:t>±10.21IU/L</w:t>
      </w:r>
      <w:r>
        <w:rPr>
          <w:rFonts w:ascii="Times New Roman" w:eastAsia="Times New Roman" w:hAnsi="Times New Roman" w:cs="Times New Roman"/>
          <w:sz w:val="24"/>
        </w:rPr>
        <w:t>). Results for kidney function, shows significantly (p&lt;0.05) higher serum urea concentration in group 3 (13.75</w:t>
      </w:r>
      <w:r>
        <w:rPr>
          <w:rFonts w:ascii="Cambria Math" w:eastAsia="Cambria Math" w:hAnsi="Cambria Math" w:cs="Cambria Math"/>
          <w:sz w:val="24"/>
        </w:rPr>
        <w:t>±2.41mg/dl</w:t>
      </w:r>
      <w:r>
        <w:rPr>
          <w:rFonts w:ascii="Times New Roman" w:eastAsia="Times New Roman" w:hAnsi="Times New Roman" w:cs="Times New Roman"/>
          <w:sz w:val="24"/>
        </w:rPr>
        <w:t>) when compared with the normal control group (8.75</w:t>
      </w:r>
      <w:r>
        <w:rPr>
          <w:rFonts w:ascii="Cambria Math" w:eastAsia="Cambria Math" w:hAnsi="Cambria Math" w:cs="Cambria Math"/>
          <w:sz w:val="24"/>
        </w:rPr>
        <w:t>±1.60mg/dl</w:t>
      </w:r>
      <w:r>
        <w:rPr>
          <w:rFonts w:ascii="Times New Roman" w:eastAsia="Times New Roman" w:hAnsi="Times New Roman" w:cs="Times New Roman"/>
          <w:sz w:val="24"/>
        </w:rPr>
        <w:t>). Serum creatinine concentration was significantly (p&lt;0.05) higher in group 2 (2.25</w:t>
      </w:r>
      <w:r>
        <w:rPr>
          <w:rFonts w:ascii="Cambria Math" w:eastAsia="Cambria Math" w:hAnsi="Cambria Math" w:cs="Cambria Math"/>
          <w:sz w:val="24"/>
        </w:rPr>
        <w:t>±1.18mg/kg</w:t>
      </w:r>
      <w:r>
        <w:rPr>
          <w:rFonts w:ascii="Times New Roman" w:eastAsia="Times New Roman" w:hAnsi="Times New Roman" w:cs="Times New Roman"/>
          <w:sz w:val="24"/>
        </w:rPr>
        <w:t>) and group 3 (2.38</w:t>
      </w:r>
      <w:r>
        <w:rPr>
          <w:rFonts w:ascii="Cambria Math" w:eastAsia="Cambria Math" w:hAnsi="Cambria Math" w:cs="Cambria Math"/>
          <w:sz w:val="24"/>
        </w:rPr>
        <w:t>±1.57mg/kg</w:t>
      </w:r>
      <w:r>
        <w:rPr>
          <w:rFonts w:ascii="Times New Roman" w:eastAsia="Times New Roman" w:hAnsi="Times New Roman" w:cs="Times New Roman"/>
          <w:sz w:val="24"/>
        </w:rPr>
        <w:t>) when compared with the normal control group (1.09</w:t>
      </w:r>
      <w:r>
        <w:rPr>
          <w:rFonts w:ascii="Cambria Math" w:eastAsia="Cambria Math" w:hAnsi="Cambria Math" w:cs="Cambria Math"/>
          <w:sz w:val="24"/>
        </w:rPr>
        <w:t>±0.13mg/kg</w:t>
      </w:r>
      <w:r>
        <w:rPr>
          <w:rFonts w:ascii="Times New Roman" w:eastAsia="Times New Roman" w:hAnsi="Times New Roman" w:cs="Times New Roman"/>
          <w:sz w:val="24"/>
        </w:rPr>
        <w:t>). Significantly (p&lt;0.05) higher SOD values was obtained in group 3 (72.64</w:t>
      </w:r>
      <w:r>
        <w:rPr>
          <w:rFonts w:ascii="Cambria Math" w:eastAsia="Cambria Math" w:hAnsi="Cambria Math" w:cs="Cambria Math"/>
          <w:sz w:val="24"/>
        </w:rPr>
        <w:t>±5.90mg/kg</w:t>
      </w:r>
      <w:r>
        <w:rPr>
          <w:rFonts w:ascii="Times New Roman" w:eastAsia="Times New Roman" w:hAnsi="Times New Roman" w:cs="Times New Roman"/>
          <w:sz w:val="24"/>
        </w:rPr>
        <w:t>) when compared with normal control group (19.62</w:t>
      </w:r>
      <w:r>
        <w:rPr>
          <w:rFonts w:ascii="Cambria Math" w:eastAsia="Cambria Math" w:hAnsi="Cambria Math" w:cs="Cambria Math"/>
          <w:sz w:val="24"/>
        </w:rPr>
        <w:t>±4.26mg/kg</w:t>
      </w:r>
      <w:r>
        <w:rPr>
          <w:rFonts w:ascii="Times New Roman" w:eastAsia="Times New Roman" w:hAnsi="Times New Roman" w:cs="Times New Roman"/>
          <w:sz w:val="24"/>
        </w:rPr>
        <w:t xml:space="preserve">). There was no significant (p&lt;0.05) difference in total serum protein concentration in all groups when compared with the normal control group. The histological result shows that the oral administration of </w:t>
      </w:r>
      <w:r>
        <w:rPr>
          <w:rFonts w:ascii="Times New Roman" w:eastAsia="Times New Roman" w:hAnsi="Times New Roman" w:cs="Times New Roman"/>
          <w:i/>
          <w:sz w:val="24"/>
        </w:rPr>
        <w:t>Cannabis sativa</w:t>
      </w:r>
      <w:r>
        <w:rPr>
          <w:rFonts w:ascii="Times New Roman" w:eastAsia="Times New Roman" w:hAnsi="Times New Roman" w:cs="Times New Roman"/>
          <w:sz w:val="24"/>
        </w:rPr>
        <w:t xml:space="preserve"> induced pronounced inflammation of the hepatic and renal tissue in group 3 when compared with the normal control group. In conclusion, the study showed that oral-administration of </w:t>
      </w:r>
      <w:r>
        <w:rPr>
          <w:rFonts w:ascii="Times New Roman" w:eastAsia="Times New Roman" w:hAnsi="Times New Roman" w:cs="Times New Roman"/>
          <w:i/>
          <w:sz w:val="24"/>
        </w:rPr>
        <w:t>Cannabis sativa</w:t>
      </w:r>
      <w:r>
        <w:rPr>
          <w:rFonts w:ascii="Times New Roman" w:eastAsia="Times New Roman" w:hAnsi="Times New Roman" w:cs="Times New Roman"/>
          <w:sz w:val="24"/>
        </w:rPr>
        <w:t xml:space="preserve"> caused a dose dependent hepatorenal toxicity. </w:t>
      </w:r>
      <w:r>
        <w:t xml:space="preserve"> </w:t>
      </w:r>
    </w:p>
    <w:p w14:paraId="0ED08DAA" w14:textId="77777777" w:rsidR="006D15FD" w:rsidRDefault="006D15FD"/>
    <w:sectPr w:rsidR="006D1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242"/>
    <w:rsid w:val="0001504B"/>
    <w:rsid w:val="00054690"/>
    <w:rsid w:val="006A1242"/>
    <w:rsid w:val="006D15FD"/>
    <w:rsid w:val="00C80426"/>
    <w:rsid w:val="00FC6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3695"/>
  <w15:chartTrackingRefBased/>
  <w15:docId w15:val="{CE085077-E3E9-43EA-941B-AC60F676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242"/>
    <w:rPr>
      <w:rFonts w:ascii="Calibri" w:eastAsia="Calibri" w:hAnsi="Calibri" w:cs="Calibri"/>
      <w:color w:val="000000"/>
    </w:rPr>
  </w:style>
  <w:style w:type="paragraph" w:styleId="Heading1">
    <w:name w:val="heading 1"/>
    <w:next w:val="Normal"/>
    <w:link w:val="Heading1Char"/>
    <w:uiPriority w:val="9"/>
    <w:qFormat/>
    <w:rsid w:val="006A1242"/>
    <w:pPr>
      <w:keepNext/>
      <w:keepLines/>
      <w:spacing w:after="135" w:line="262"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242"/>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ACEPRD</dc:creator>
  <cp:keywords/>
  <dc:description/>
  <cp:lastModifiedBy>ACEPRD</cp:lastModifiedBy>
  <cp:revision>4</cp:revision>
  <dcterms:created xsi:type="dcterms:W3CDTF">2019-05-20T11:28:00Z</dcterms:created>
  <dcterms:modified xsi:type="dcterms:W3CDTF">2019-08-08T15:46:00Z</dcterms:modified>
</cp:coreProperties>
</file>