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27865" w:rsidP="00B27865">
      <w:pPr>
        <w:pStyle w:val="Heading4"/>
        <w:rPr>
          <w:sz w:val="32"/>
          <w:szCs w:val="32"/>
        </w:rPr>
      </w:pPr>
      <w:r w:rsidRPr="00B27865">
        <w:rPr>
          <w:sz w:val="32"/>
          <w:szCs w:val="32"/>
        </w:rPr>
        <w:t>Bio-analytical methods for quantitative determination(Bio-equivalence and Bio-availability) of drug present in the blood matrix.</w:t>
      </w:r>
    </w:p>
    <w:p w:rsidR="00B27865" w:rsidRPr="00B27865" w:rsidRDefault="00B27865" w:rsidP="00B27865"/>
    <w:p w:rsidR="00AE3E37" w:rsidRDefault="00B27865" w:rsidP="00B27865">
      <w:pPr>
        <w:pStyle w:val="BodyText"/>
        <w:tabs>
          <w:tab w:val="left" w:pos="4431"/>
        </w:tabs>
        <w:rPr>
          <w:rFonts w:ascii="Arial"/>
          <w:sz w:val="20"/>
        </w:rPr>
      </w:pPr>
      <w:r>
        <w:rPr>
          <w:rFonts w:ascii="Times New Roman" w:hAnsi="Times New Roman" w:cs="Times New Roman"/>
          <w:b/>
          <w:sz w:val="26"/>
          <w:szCs w:val="26"/>
        </w:rPr>
        <w:t>Author: Aashna Lamba, Co-author: Swastika Mishra</w:t>
      </w:r>
      <w:r>
        <w:rPr>
          <w:rFonts w:ascii="Times New Roman" w:hAnsi="Times New Roman" w:cs="Times New Roman"/>
          <w:b/>
          <w:sz w:val="26"/>
          <w:szCs w:val="26"/>
        </w:rPr>
        <w:br/>
        <w:t>University/Organization:  Amity University of Pharmacy</w:t>
      </w:r>
      <w:r>
        <w:rPr>
          <w:rFonts w:ascii="Arial"/>
          <w:sz w:val="20"/>
        </w:rPr>
        <w:tab/>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w:t>
      </w:r>
    </w:p>
    <w:p w:rsidR="00B27865" w:rsidRDefault="00B27865" w:rsidP="00B27865">
      <w:pPr>
        <w:jc w:val="both"/>
        <w:rPr>
          <w:rFonts w:ascii="Times New Roman" w:hAnsi="Times New Roman" w:cs="Times New Roman"/>
          <w:sz w:val="26"/>
          <w:szCs w:val="26"/>
        </w:rPr>
      </w:pPr>
      <w:r>
        <w:rPr>
          <w:rFonts w:ascii="Times New Roman" w:hAnsi="Times New Roman" w:cs="Times New Roman"/>
          <w:sz w:val="26"/>
          <w:szCs w:val="26"/>
        </w:rPr>
        <w:t>Bio-analytical methods utilized for the quantitative determination of drugs and their metabolite in biological matrix such as, Plasma, Urine, Saliva and serum in order to find their significant role in evaluation of interpretation of bioavailability and bioequivalence for Pharmacokinetic data.</w:t>
      </w:r>
    </w:p>
    <w:p w:rsidR="00B27865" w:rsidRDefault="00B27865" w:rsidP="00B27865">
      <w:pPr>
        <w:jc w:val="both"/>
        <w:rPr>
          <w:rFonts w:ascii="Times New Roman" w:hAnsi="Times New Roman" w:cs="Times New Roman"/>
          <w:sz w:val="26"/>
          <w:szCs w:val="26"/>
        </w:rPr>
      </w:pPr>
      <w:r>
        <w:rPr>
          <w:rFonts w:ascii="Times New Roman" w:hAnsi="Times New Roman" w:cs="Times New Roman"/>
          <w:sz w:val="26"/>
          <w:szCs w:val="26"/>
        </w:rPr>
        <w:t xml:space="preserve">The evaluations for linearity, precisions, accuracy and sensitivity were performed on three batches of spiked plasma samples. Each batch of spiked plasma sample included  one complete set of calibration standards (Blank, Blank plus internal standard etc ). Each different Blank Matrix Batches were screened for interference at the retention time(RT). Bulk spiking of the samples were prepared by several dilution with analyte free plasma to obtain 8 different concentration </w:t>
      </w:r>
      <w:r>
        <w:rPr>
          <w:rFonts w:ascii="Times New Roman" w:hAnsi="Times New Roman" w:cs="Times New Roman"/>
          <w:sz w:val="26"/>
          <w:szCs w:val="26"/>
        </w:rPr>
        <w:lastRenderedPageBreak/>
        <w:t>level.</w:t>
      </w:r>
    </w:p>
    <w:p w:rsidR="00B27865" w:rsidRDefault="00B27865" w:rsidP="00B27865">
      <w:pPr>
        <w:jc w:val="both"/>
        <w:rPr>
          <w:rFonts w:ascii="Times New Roman" w:hAnsi="Times New Roman" w:cs="Times New Roman"/>
          <w:b/>
          <w:sz w:val="26"/>
          <w:szCs w:val="26"/>
        </w:rPr>
      </w:pPr>
      <w:r>
        <w:rPr>
          <w:rFonts w:ascii="Times New Roman" w:hAnsi="Times New Roman" w:cs="Times New Roman"/>
          <w:sz w:val="26"/>
          <w:szCs w:val="26"/>
        </w:rPr>
        <w:t>The closeness of the mean test results obtained by method to the true value(concentration) of the analyte showed the precision of the analytical method. Accuracy was determined by replicate analysis of samples . Large set of low, middle and high Quality control (QC) samples were processed and analyzed against a single calibration curve. The following pharmacokinetic parameters were calculated for analyte using software- AUC0-t, AUC0-24, AUC-∞, AUC%, Cmax, Tmax, T1/2.</w:t>
      </w:r>
      <w:r>
        <w:rPr>
          <w:rFonts w:ascii="Times New Roman" w:hAnsi="Times New Roman" w:cs="Times New Roman"/>
          <w:b/>
          <w:sz w:val="26"/>
          <w:szCs w:val="26"/>
        </w:rPr>
        <w:br/>
      </w:r>
    </w:p>
    <w:p w:rsidR="00B27865" w:rsidRDefault="00B27865">
      <w:pPr>
        <w:pStyle w:val="Heading3"/>
        <w:spacing w:before="147"/>
        <w:jc w:val="both"/>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pPr>
    </w:p>
    <w:p w:rsidR="00B27865" w:rsidRDefault="00B27865">
      <w:pPr>
        <w:spacing w:line="200" w:lineRule="exact"/>
        <w:jc w:val="both"/>
        <w:rPr>
          <w:rFonts w:ascii="Calibri" w:hAnsi="Calibri"/>
        </w:rPr>
      </w:pPr>
    </w:p>
    <w:p w:rsidR="00B27865" w:rsidRDefault="00B27865">
      <w:pPr>
        <w:spacing w:line="200" w:lineRule="exact"/>
        <w:jc w:val="both"/>
        <w:rPr>
          <w:rFonts w:ascii="Calibri" w:hAnsi="Calibri"/>
        </w:rPr>
      </w:pPr>
    </w:p>
    <w:p w:rsidR="00B27865" w:rsidRDefault="00B27865">
      <w:pPr>
        <w:spacing w:line="200" w:lineRule="exact"/>
        <w:jc w:val="both"/>
        <w:rPr>
          <w:rFonts w:ascii="Calibri" w:hAnsi="Calibri"/>
        </w:rPr>
      </w:pPr>
    </w:p>
    <w:p w:rsidR="00B27865" w:rsidRDefault="00B27865">
      <w:pPr>
        <w:spacing w:line="200" w:lineRule="exact"/>
        <w:jc w:val="both"/>
        <w:rPr>
          <w:rFonts w:ascii="Calibri" w:hAnsi="Calibri"/>
        </w:rPr>
      </w:pPr>
    </w:p>
    <w:p w:rsidR="00B27865" w:rsidRDefault="00B27865">
      <w:pPr>
        <w:spacing w:line="200" w:lineRule="exact"/>
        <w:jc w:val="both"/>
        <w:rPr>
          <w:rFonts w:ascii="Calibri" w:hAnsi="Calibri"/>
        </w:rPr>
        <w:sectPr w:rsidR="00B27865">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D48AF">
      <w:pPr>
        <w:pStyle w:val="BodyText"/>
        <w:spacing w:line="40" w:lineRule="exact"/>
        <w:ind w:left="2202"/>
        <w:rPr>
          <w:rFonts w:ascii="Calibri"/>
          <w:sz w:val="4"/>
        </w:rPr>
      </w:pPr>
      <w:r>
        <w:rPr>
          <w:rFonts w:ascii="Calibri"/>
          <w:noProof/>
          <w:sz w:val="4"/>
          <w:lang w:val="en-IN" w:eastAsia="en-IN"/>
        </w:rPr>
      </w:r>
      <w:r w:rsidRPr="004D48AF">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27865" w:rsidP="00404E5B">
      <w:pPr>
        <w:spacing w:before="92"/>
        <w:ind w:right="4234"/>
        <w:rPr>
          <w:rFonts w:ascii="Arial"/>
          <w:color w:val="BF5A14"/>
        </w:rPr>
      </w:pPr>
      <w:r>
        <w:rPr>
          <w:rFonts w:ascii="Arial"/>
          <w:noProof/>
          <w:color w:val="BF5A14"/>
          <w:lang w:val="en-IN" w:eastAsia="en-IN"/>
        </w:rPr>
        <w:drawing>
          <wp:anchor distT="0" distB="0" distL="114300" distR="114300" simplePos="0" relativeHeight="251659264" behindDoc="0" locked="0" layoutInCell="1" allowOverlap="1">
            <wp:simplePos x="0" y="0"/>
            <wp:positionH relativeFrom="margin">
              <wp:posOffset>5146675</wp:posOffset>
            </wp:positionH>
            <wp:positionV relativeFrom="margin">
              <wp:posOffset>4967605</wp:posOffset>
            </wp:positionV>
            <wp:extent cx="1088390" cy="1506220"/>
            <wp:effectExtent l="19050" t="0" r="0" b="0"/>
            <wp:wrapSquare wrapText="bothSides"/>
            <wp:docPr id="4" name="Picture 4" descr="https://scontent.fdel12-1.fna.fbcdn.net/v/t1.15752-9/36952656_2117965634911123_2808942563300474880_n.jpg?_nc_cat=0&amp;oh=04840923a32fab36eabd964301b2aee7&amp;oe=5BE86F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fdel12-1.fna.fbcdn.net/v/t1.15752-9/36952656_2117965634911123_2808942563300474880_n.jpg?_nc_cat=0&amp;oh=04840923a32fab36eabd964301b2aee7&amp;oe=5BE86F41"/>
                    <pic:cNvPicPr>
                      <a:picLocks noChangeAspect="1" noChangeArrowheads="1"/>
                    </pic:cNvPicPr>
                  </pic:nvPicPr>
                  <pic:blipFill>
                    <a:blip r:embed="rId9" cstate="print"/>
                    <a:srcRect/>
                    <a:stretch>
                      <a:fillRect/>
                    </a:stretch>
                  </pic:blipFill>
                  <pic:spPr bwMode="auto">
                    <a:xfrm>
                      <a:off x="0" y="0"/>
                      <a:ext cx="1088390" cy="1506220"/>
                    </a:xfrm>
                    <a:prstGeom prst="rect">
                      <a:avLst/>
                    </a:prstGeom>
                    <a:noFill/>
                    <a:ln w="9525">
                      <a:noFill/>
                      <a:miter lim="800000"/>
                      <a:headEnd/>
                      <a:tailEnd/>
                    </a:ln>
                  </pic:spPr>
                </pic:pic>
              </a:graphicData>
            </a:graphic>
          </wp:anchor>
        </w:drawing>
      </w:r>
      <w:r w:rsidR="00A9710C">
        <w:rPr>
          <w:rFonts w:ascii="Arial"/>
          <w:color w:val="BF5A14"/>
        </w:rPr>
        <w:t>Biography</w:t>
      </w:r>
      <w:r w:rsidR="00404E5B">
        <w:rPr>
          <w:rFonts w:ascii="Arial"/>
          <w:color w:val="BF5A14"/>
        </w:rPr>
        <w:t xml:space="preserve"> </w:t>
      </w:r>
    </w:p>
    <w:p w:rsidR="00B27865" w:rsidRDefault="00B27865" w:rsidP="00B27865">
      <w:pPr>
        <w:spacing w:before="92"/>
        <w:ind w:right="4234"/>
        <w:rPr>
          <w:rFonts w:ascii="Times New Roman" w:hAnsi="Times New Roman" w:cs="Times New Roman"/>
          <w:sz w:val="24"/>
          <w:szCs w:val="24"/>
        </w:rPr>
      </w:pPr>
      <w:r w:rsidRPr="00B27865">
        <w:rPr>
          <w:rFonts w:ascii="Times New Roman" w:hAnsi="Times New Roman" w:cs="Times New Roman"/>
          <w:sz w:val="24"/>
          <w:szCs w:val="24"/>
        </w:rPr>
        <w:t>Aashna Lamba is a fourth-year Bachelor of Pharmacy st</w:t>
      </w:r>
      <w:r>
        <w:rPr>
          <w:rFonts w:ascii="Times New Roman" w:hAnsi="Times New Roman" w:cs="Times New Roman"/>
          <w:sz w:val="24"/>
          <w:szCs w:val="24"/>
        </w:rPr>
        <w:t xml:space="preserve">udent at the Amity university, </w:t>
      </w:r>
      <w:r w:rsidRPr="00B27865">
        <w:rPr>
          <w:rFonts w:ascii="Times New Roman" w:hAnsi="Times New Roman" w:cs="Times New Roman"/>
          <w:sz w:val="24"/>
          <w:szCs w:val="24"/>
        </w:rPr>
        <w:t>Noida. She is the College Coordinator of Indian Pharmacy Graduates Association  Student forum. She is further interested in pursuing MS in Pharmaceutical Sciences with specializat</w:t>
      </w:r>
      <w:r>
        <w:rPr>
          <w:rFonts w:ascii="Times New Roman" w:hAnsi="Times New Roman" w:cs="Times New Roman"/>
          <w:sz w:val="24"/>
          <w:szCs w:val="24"/>
        </w:rPr>
        <w:t>ion in Molecular</w:t>
      </w:r>
      <w:r w:rsidRPr="00B27865">
        <w:rPr>
          <w:rFonts w:ascii="Times New Roman" w:hAnsi="Times New Roman" w:cs="Times New Roman"/>
          <w:sz w:val="24"/>
          <w:szCs w:val="24"/>
        </w:rPr>
        <w:t xml:space="preserve"> </w:t>
      </w:r>
      <w:r>
        <w:rPr>
          <w:rFonts w:ascii="Times New Roman" w:hAnsi="Times New Roman" w:cs="Times New Roman"/>
          <w:sz w:val="24"/>
          <w:szCs w:val="24"/>
        </w:rPr>
        <w:t>Pharmaceutics and Drug development.</w:t>
      </w:r>
    </w:p>
    <w:p w:rsidR="00B27865" w:rsidRDefault="00B27865" w:rsidP="00B27865">
      <w:pPr>
        <w:spacing w:before="92"/>
        <w:ind w:right="4234"/>
        <w:rPr>
          <w:rFonts w:ascii="Times New Roman" w:hAnsi="Times New Roman" w:cs="Times New Roman"/>
          <w:sz w:val="24"/>
          <w:szCs w:val="24"/>
        </w:rPr>
      </w:pPr>
    </w:p>
    <w:p w:rsidR="00AE3E37" w:rsidRPr="00B27865" w:rsidRDefault="00B27865" w:rsidP="00B27865">
      <w:pPr>
        <w:spacing w:before="92"/>
        <w:ind w:right="4234"/>
        <w:rPr>
          <w:rFonts w:ascii="Times New Roman" w:hAnsi="Times New Roman" w:cs="Times New Roman"/>
          <w:sz w:val="24"/>
          <w:szCs w:val="24"/>
        </w:rPr>
      </w:pPr>
      <w:r>
        <w:rPr>
          <w:rFonts w:ascii="Times New Roman" w:hAnsi="Times New Roman" w:cs="Times New Roman"/>
          <w:sz w:val="24"/>
          <w:szCs w:val="24"/>
        </w:rPr>
        <w:t xml:space="preserve">                                                        </w:t>
      </w:r>
      <w:r w:rsidR="00A9710C">
        <w:rPr>
          <w:rFonts w:ascii="Arial"/>
          <w:sz w:val="14"/>
        </w:rPr>
        <w:t>Email:</w:t>
      </w:r>
      <w:r>
        <w:rPr>
          <w:rFonts w:ascii="Arial"/>
          <w:sz w:val="14"/>
        </w:rPr>
        <w:t>aashnalamba.1997@gmail.com</w:t>
      </w:r>
    </w:p>
    <w:p w:rsidR="00AE3E37" w:rsidRDefault="004D48AF">
      <w:pPr>
        <w:pStyle w:val="BodyText"/>
        <w:spacing w:before="2"/>
        <w:rPr>
          <w:rFonts w:ascii="Arial"/>
          <w:sz w:val="19"/>
        </w:rPr>
      </w:pPr>
      <w:r w:rsidRPr="004D48AF">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7865" w:rsidRDefault="00AE3E37" w:rsidP="00B27865">
      <w:pPr>
        <w:spacing w:before="39"/>
        <w:ind w:left="100"/>
        <w:rPr>
          <w:rFonts w:ascii="Minion Pro"/>
          <w:b/>
          <w:sz w:val="20"/>
        </w:rPr>
        <w:sectPr w:rsidR="00AE3E37" w:rsidRPr="00B2786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296" w:rsidRDefault="00DA2296">
      <w:r>
        <w:separator/>
      </w:r>
    </w:p>
  </w:endnote>
  <w:endnote w:type="continuationSeparator" w:id="1">
    <w:p w:rsidR="00DA2296" w:rsidRDefault="00DA22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D48AF">
    <w:pPr>
      <w:pStyle w:val="BodyText"/>
      <w:spacing w:line="14" w:lineRule="auto"/>
      <w:rPr>
        <w:sz w:val="20"/>
      </w:rPr>
    </w:pPr>
    <w:r w:rsidRPr="004D48AF">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D48AF">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D48AF">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296" w:rsidRDefault="00DA2296">
      <w:r>
        <w:separator/>
      </w:r>
    </w:p>
  </w:footnote>
  <w:footnote w:type="continuationSeparator" w:id="1">
    <w:p w:rsidR="00DA2296" w:rsidRDefault="00DA22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D48AF">
    <w:pPr>
      <w:pStyle w:val="BodyText"/>
      <w:spacing w:line="14" w:lineRule="auto"/>
      <w:rPr>
        <w:sz w:val="20"/>
      </w:rPr>
    </w:pPr>
    <w:r w:rsidRPr="004D48AF">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D48AF">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92ED9"/>
    <w:rsid w:val="00390EBF"/>
    <w:rsid w:val="00404E5B"/>
    <w:rsid w:val="00414F7B"/>
    <w:rsid w:val="004355DC"/>
    <w:rsid w:val="004749B4"/>
    <w:rsid w:val="00494130"/>
    <w:rsid w:val="004D48AF"/>
    <w:rsid w:val="004F3523"/>
    <w:rsid w:val="005973B9"/>
    <w:rsid w:val="005B3A56"/>
    <w:rsid w:val="006060CE"/>
    <w:rsid w:val="0063497F"/>
    <w:rsid w:val="00792B1B"/>
    <w:rsid w:val="00873DF0"/>
    <w:rsid w:val="008756E6"/>
    <w:rsid w:val="009B2D44"/>
    <w:rsid w:val="00A07E82"/>
    <w:rsid w:val="00A9710C"/>
    <w:rsid w:val="00AE3E37"/>
    <w:rsid w:val="00B21A57"/>
    <w:rsid w:val="00B27865"/>
    <w:rsid w:val="00C33602"/>
    <w:rsid w:val="00CD6F55"/>
    <w:rsid w:val="00DA2296"/>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B2786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B27865"/>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AASHNA</cp:lastModifiedBy>
  <cp:revision>2</cp:revision>
  <dcterms:created xsi:type="dcterms:W3CDTF">2018-09-10T12:23:00Z</dcterms:created>
  <dcterms:modified xsi:type="dcterms:W3CDTF">2018-09-10T12:23:00Z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