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72B" w:rsidRDefault="0012072B" w:rsidP="005973B9">
      <w:pPr>
        <w:pStyle w:val="Textkrper"/>
        <w:spacing w:before="73" w:line="198" w:lineRule="exact"/>
        <w:ind w:left="100" w:right="5987"/>
        <w:rPr>
          <w:rFonts w:ascii="Arial" w:eastAsiaTheme="minorHAnsi" w:hAnsi="Arial" w:cs="Arial"/>
          <w:b/>
          <w:bCs/>
          <w:color w:val="000000"/>
          <w:sz w:val="24"/>
          <w:szCs w:val="24"/>
          <w:lang w:val="en-GB"/>
        </w:rPr>
      </w:pPr>
      <w:r>
        <w:rPr>
          <w:rFonts w:ascii="Arial" w:eastAsiaTheme="minorHAnsi" w:hAnsi="Arial" w:cs="Arial"/>
          <w:b/>
          <w:bCs/>
          <w:color w:val="000000"/>
          <w:sz w:val="24"/>
          <w:szCs w:val="24"/>
          <w:lang w:val="en-GB"/>
        </w:rPr>
        <w:t>Compliance to</w:t>
      </w:r>
      <w:r>
        <w:rPr>
          <w:rFonts w:ascii="Arial" w:eastAsiaTheme="minorHAnsi" w:hAnsi="Arial" w:cs="Arial"/>
          <w:b/>
          <w:bCs/>
          <w:color w:val="000000"/>
          <w:sz w:val="24"/>
          <w:szCs w:val="24"/>
          <w:lang w:val="en-GB"/>
        </w:rPr>
        <w:t xml:space="preserve"> national </w:t>
      </w:r>
      <w:proofErr w:type="gramStart"/>
      <w:r>
        <w:rPr>
          <w:rFonts w:ascii="Arial" w:eastAsiaTheme="minorHAnsi" w:hAnsi="Arial" w:cs="Arial"/>
          <w:b/>
          <w:bCs/>
          <w:color w:val="000000"/>
          <w:sz w:val="24"/>
          <w:szCs w:val="24"/>
          <w:lang w:val="en-GB"/>
        </w:rPr>
        <w:t xml:space="preserve">and </w:t>
      </w:r>
      <w:r>
        <w:rPr>
          <w:rFonts w:ascii="Arial" w:eastAsiaTheme="minorHAnsi" w:hAnsi="Arial" w:cs="Arial"/>
          <w:b/>
          <w:bCs/>
          <w:color w:val="000000"/>
          <w:sz w:val="24"/>
          <w:szCs w:val="24"/>
          <w:lang w:val="en-GB"/>
        </w:rPr>
        <w:t xml:space="preserve"> international</w:t>
      </w:r>
      <w:proofErr w:type="gramEnd"/>
      <w:r>
        <w:rPr>
          <w:rFonts w:ascii="Arial" w:eastAsiaTheme="minorHAnsi" w:hAnsi="Arial" w:cs="Arial"/>
          <w:b/>
          <w:bCs/>
          <w:color w:val="000000"/>
          <w:sz w:val="24"/>
          <w:szCs w:val="24"/>
          <w:lang w:val="en-GB"/>
        </w:rPr>
        <w:t xml:space="preserve"> standards, traceability and data integrity:</w:t>
      </w:r>
    </w:p>
    <w:p w:rsidR="0012072B" w:rsidRDefault="0012072B" w:rsidP="005973B9">
      <w:pPr>
        <w:pStyle w:val="Textkrper"/>
        <w:spacing w:before="73" w:line="198" w:lineRule="exact"/>
        <w:ind w:left="100" w:right="5987"/>
        <w:rPr>
          <w:rFonts w:ascii="Arial" w:eastAsiaTheme="minorHAnsi" w:hAnsi="Arial" w:cs="Arial"/>
          <w:b/>
          <w:bCs/>
          <w:color w:val="000000"/>
          <w:sz w:val="24"/>
          <w:szCs w:val="24"/>
          <w:lang w:val="en-GB"/>
        </w:rPr>
      </w:pPr>
    </w:p>
    <w:p w:rsidR="0012072B" w:rsidRDefault="0012072B" w:rsidP="005973B9">
      <w:pPr>
        <w:pStyle w:val="Textkrper"/>
        <w:spacing w:before="73" w:line="198" w:lineRule="exact"/>
        <w:ind w:left="100" w:right="5987"/>
        <w:rPr>
          <w:rFonts w:ascii="Arial"/>
          <w:lang w:val="de-DE"/>
        </w:rPr>
      </w:pPr>
      <w:r w:rsidRPr="0012072B">
        <w:rPr>
          <w:rFonts w:ascii="Arial"/>
          <w:lang w:val="de-DE"/>
        </w:rPr>
        <w:t>J</w:t>
      </w:r>
      <w:r w:rsidRPr="0012072B">
        <w:rPr>
          <w:rFonts w:ascii="Arial"/>
          <w:lang w:val="de-DE"/>
        </w:rPr>
        <w:t>ö</w:t>
      </w:r>
      <w:r w:rsidRPr="0012072B">
        <w:rPr>
          <w:rFonts w:ascii="Arial"/>
          <w:lang w:val="de-DE"/>
        </w:rPr>
        <w:t xml:space="preserve">rg </w:t>
      </w:r>
      <w:proofErr w:type="spellStart"/>
      <w:r w:rsidRPr="0012072B">
        <w:rPr>
          <w:rFonts w:ascii="Arial"/>
          <w:lang w:val="de-DE"/>
        </w:rPr>
        <w:t>B</w:t>
      </w:r>
      <w:r w:rsidRPr="0012072B">
        <w:rPr>
          <w:rFonts w:ascii="Arial"/>
          <w:lang w:val="de-DE"/>
        </w:rPr>
        <w:t>ä</w:t>
      </w:r>
      <w:r w:rsidRPr="0012072B">
        <w:rPr>
          <w:rFonts w:ascii="Arial"/>
          <w:lang w:val="de-DE"/>
        </w:rPr>
        <w:t>mpfer</w:t>
      </w:r>
      <w:proofErr w:type="spellEnd"/>
      <w:r w:rsidRPr="0012072B">
        <w:rPr>
          <w:rFonts w:ascii="Arial"/>
          <w:lang w:val="de-DE"/>
        </w:rPr>
        <w:t xml:space="preserve">, </w:t>
      </w:r>
      <w:proofErr w:type="spellStart"/>
      <w:r>
        <w:rPr>
          <w:rFonts w:ascii="Arial"/>
          <w:lang w:val="de-DE"/>
        </w:rPr>
        <w:t>Product</w:t>
      </w:r>
      <w:proofErr w:type="spellEnd"/>
      <w:r>
        <w:rPr>
          <w:rFonts w:ascii="Arial"/>
          <w:lang w:val="de-DE"/>
        </w:rPr>
        <w:t xml:space="preserve"> Manager, </w:t>
      </w:r>
    </w:p>
    <w:p w:rsidR="005973B9" w:rsidRPr="0012072B" w:rsidRDefault="0012072B" w:rsidP="005973B9">
      <w:pPr>
        <w:pStyle w:val="Textkrper"/>
        <w:spacing w:before="73" w:line="198" w:lineRule="exact"/>
        <w:ind w:left="100" w:right="5987"/>
        <w:rPr>
          <w:rFonts w:ascii="Arial"/>
          <w:lang w:val="de-DE"/>
        </w:rPr>
      </w:pPr>
      <w:r w:rsidRPr="0012072B">
        <w:rPr>
          <w:rFonts w:ascii="Arial"/>
          <w:lang w:val="de-DE"/>
        </w:rPr>
        <w:t>Anton Paar GmbH, Germany</w:t>
      </w:r>
    </w:p>
    <w:p w:rsidR="00AE3E37" w:rsidRPr="0012072B" w:rsidRDefault="00AE3E37">
      <w:pPr>
        <w:pStyle w:val="Textkrper"/>
        <w:rPr>
          <w:rFonts w:ascii="Arial"/>
          <w:sz w:val="20"/>
          <w:lang w:val="de-DE"/>
        </w:rPr>
      </w:pPr>
    </w:p>
    <w:p w:rsidR="00AE3E37" w:rsidRPr="0012072B" w:rsidRDefault="00AE3E37">
      <w:pPr>
        <w:pStyle w:val="Textkrper"/>
        <w:spacing w:before="3"/>
        <w:rPr>
          <w:rFonts w:ascii="Arial"/>
          <w:sz w:val="21"/>
          <w:lang w:val="de-DE"/>
        </w:rPr>
      </w:pPr>
    </w:p>
    <w:p w:rsidR="00AE3E37" w:rsidRPr="0012072B" w:rsidRDefault="00AE3E37">
      <w:pPr>
        <w:rPr>
          <w:rFonts w:ascii="Arial"/>
          <w:sz w:val="21"/>
          <w:lang w:val="de-DE"/>
        </w:rPr>
        <w:sectPr w:rsidR="00AE3E37" w:rsidRPr="0012072B">
          <w:headerReference w:type="default" r:id="rId8"/>
          <w:footerReference w:type="default" r:id="rId9"/>
          <w:type w:val="continuous"/>
          <w:pgSz w:w="11910" w:h="16840"/>
          <w:pgMar w:top="1740" w:right="600" w:bottom="840" w:left="620" w:header="541" w:footer="642" w:gutter="0"/>
          <w:cols w:space="720"/>
        </w:sect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r>
        <w:rPr>
          <w:rFonts w:ascii="Arial" w:eastAsiaTheme="minorHAnsi" w:hAnsi="Arial" w:cs="Arial"/>
          <w:color w:val="000000"/>
          <w:sz w:val="24"/>
          <w:szCs w:val="24"/>
          <w:lang w:val="en-GB"/>
        </w:rPr>
        <w:lastRenderedPageBreak/>
        <w:t>Data security, integrity and traceability play</w:t>
      </w:r>
      <w:r>
        <w:rPr>
          <w:rFonts w:ascii="Arial" w:eastAsiaTheme="minorHAnsi" w:hAnsi="Arial" w:cs="Arial"/>
          <w:color w:val="000000"/>
          <w:sz w:val="24"/>
          <w:szCs w:val="24"/>
          <w:lang w:val="en-GB"/>
        </w:rPr>
        <w:t>’</w:t>
      </w:r>
      <w:r>
        <w:rPr>
          <w:rFonts w:ascii="Arial" w:eastAsiaTheme="minorHAnsi" w:hAnsi="Arial" w:cs="Arial"/>
          <w:color w:val="000000"/>
          <w:sz w:val="24"/>
          <w:szCs w:val="24"/>
          <w:lang w:val="en-GB"/>
        </w:rPr>
        <w:t xml:space="preserve">s an ever increasing role for both, users and suppliers of analytical instrumentation. Today, this is particularly driven by pharmaceutical regulations, whose main aim is to make substances entering the human body as safe as possible. Also in food-, flavour- and fragrance applications traceability quickly gains importance. </w:t>
      </w: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r>
        <w:rPr>
          <w:rFonts w:ascii="Arial" w:eastAsiaTheme="minorHAnsi" w:hAnsi="Arial" w:cs="Arial"/>
          <w:color w:val="000000"/>
          <w:sz w:val="24"/>
          <w:szCs w:val="24"/>
          <w:lang w:val="en-GB"/>
        </w:rPr>
        <w:t xml:space="preserve">In </w:t>
      </w:r>
      <w:proofErr w:type="spellStart"/>
      <w:r>
        <w:rPr>
          <w:rFonts w:ascii="Arial" w:eastAsiaTheme="minorHAnsi" w:hAnsi="Arial" w:cs="Arial"/>
          <w:color w:val="000000"/>
          <w:sz w:val="24"/>
          <w:szCs w:val="24"/>
          <w:lang w:val="en-GB"/>
        </w:rPr>
        <w:t>polarimetry</w:t>
      </w:r>
      <w:proofErr w:type="spellEnd"/>
      <w:r>
        <w:rPr>
          <w:rFonts w:ascii="Arial" w:eastAsiaTheme="minorHAnsi" w:hAnsi="Arial" w:cs="Arial"/>
          <w:color w:val="000000"/>
          <w:sz w:val="24"/>
          <w:szCs w:val="24"/>
          <w:lang w:val="en-GB"/>
        </w:rPr>
        <w:t xml:space="preserve"> and </w:t>
      </w:r>
      <w:proofErr w:type="spellStart"/>
      <w:r>
        <w:rPr>
          <w:rFonts w:ascii="Arial" w:eastAsiaTheme="minorHAnsi" w:hAnsi="Arial" w:cs="Arial"/>
          <w:color w:val="000000"/>
          <w:sz w:val="24"/>
          <w:szCs w:val="24"/>
          <w:lang w:val="en-GB"/>
        </w:rPr>
        <w:t>refractometry</w:t>
      </w:r>
      <w:proofErr w:type="spellEnd"/>
      <w:r>
        <w:rPr>
          <w:rFonts w:ascii="Arial" w:eastAsiaTheme="minorHAnsi" w:hAnsi="Arial" w:cs="Arial"/>
          <w:color w:val="000000"/>
          <w:sz w:val="24"/>
          <w:szCs w:val="24"/>
          <w:lang w:val="en-GB"/>
        </w:rPr>
        <w:t xml:space="preserve">, the foundation to quantitative analysis and common standards has been laid by sugar industry associations in close cooperation with national metrological institutes, primarily ICUMSA International Commission for Uniform Methods of Sugar Analysis, NIST National Institute of Standards and Technology, agency of U.S. Department of Commerce, Gaithersburg, USA and PTB </w:t>
      </w:r>
      <w:proofErr w:type="spellStart"/>
      <w:r>
        <w:rPr>
          <w:rFonts w:ascii="Arial" w:eastAsiaTheme="minorHAnsi" w:hAnsi="Arial" w:cs="Arial"/>
          <w:color w:val="000000"/>
          <w:sz w:val="24"/>
          <w:szCs w:val="24"/>
          <w:lang w:val="en-GB"/>
        </w:rPr>
        <w:t>Physikalisch-Technische</w:t>
      </w:r>
      <w:proofErr w:type="spellEnd"/>
      <w:r>
        <w:rPr>
          <w:rFonts w:ascii="Arial" w:eastAsiaTheme="minorHAnsi" w:hAnsi="Arial" w:cs="Arial"/>
          <w:color w:val="000000"/>
          <w:sz w:val="24"/>
          <w:szCs w:val="24"/>
          <w:lang w:val="en-GB"/>
        </w:rPr>
        <w:t xml:space="preserve"> </w:t>
      </w:r>
      <w:proofErr w:type="spellStart"/>
      <w:r>
        <w:rPr>
          <w:rFonts w:ascii="Arial" w:eastAsiaTheme="minorHAnsi" w:hAnsi="Arial" w:cs="Arial"/>
          <w:color w:val="000000"/>
          <w:sz w:val="24"/>
          <w:szCs w:val="24"/>
          <w:lang w:val="en-GB"/>
        </w:rPr>
        <w:t>Bundesanstalt</w:t>
      </w:r>
      <w:proofErr w:type="spellEnd"/>
      <w:r>
        <w:rPr>
          <w:rFonts w:ascii="Arial" w:eastAsiaTheme="minorHAnsi" w:hAnsi="Arial" w:cs="Arial"/>
          <w:color w:val="000000"/>
          <w:sz w:val="24"/>
          <w:szCs w:val="24"/>
          <w:lang w:val="en-GB"/>
        </w:rPr>
        <w:t xml:space="preserve">, </w:t>
      </w:r>
      <w:proofErr w:type="spellStart"/>
      <w:r>
        <w:rPr>
          <w:rFonts w:ascii="Arial" w:eastAsiaTheme="minorHAnsi" w:hAnsi="Arial" w:cs="Arial"/>
          <w:color w:val="000000"/>
          <w:sz w:val="24"/>
          <w:szCs w:val="24"/>
          <w:lang w:val="en-GB"/>
        </w:rPr>
        <w:t>Braunschweig</w:t>
      </w:r>
      <w:proofErr w:type="spellEnd"/>
      <w:r>
        <w:rPr>
          <w:rFonts w:ascii="Arial" w:eastAsiaTheme="minorHAnsi" w:hAnsi="Arial" w:cs="Arial"/>
          <w:color w:val="000000"/>
          <w:sz w:val="24"/>
          <w:szCs w:val="24"/>
          <w:lang w:val="en-GB"/>
        </w:rPr>
        <w:t xml:space="preserve"> / Berlin, Germany.</w:t>
      </w: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r>
        <w:rPr>
          <w:rFonts w:ascii="Arial" w:eastAsiaTheme="minorHAnsi" w:hAnsi="Arial" w:cs="Arial"/>
          <w:color w:val="000000"/>
          <w:sz w:val="24"/>
          <w:szCs w:val="24"/>
          <w:lang w:val="en-GB"/>
        </w:rPr>
        <w:lastRenderedPageBreak/>
        <w:t>Calibration with a reference standard is only meaningful, if the standard can be traced back to a national standard or normal, cf. VIM: Traceability is “the property of the result of a measurement or the value of a standard whereby it can be related to stated references, usually national or international standards, through an unbroken chain of comparisons all having stated uncertainties.”</w:t>
      </w:r>
      <w:bookmarkStart w:id="0" w:name="_GoBack"/>
      <w:bookmarkEnd w:id="0"/>
    </w:p>
    <w:p w:rsidR="0012072B" w:rsidRDefault="0012072B" w:rsidP="0012072B">
      <w:pPr>
        <w:widowControl/>
        <w:autoSpaceDE w:val="0"/>
        <w:autoSpaceDN w:val="0"/>
        <w:adjustRightInd w:val="0"/>
        <w:spacing w:after="240"/>
        <w:jc w:val="both"/>
        <w:rPr>
          <w:rFonts w:ascii="Arial" w:eastAsiaTheme="minorHAnsi" w:hAnsi="Arial" w:cs="Arial"/>
          <w:color w:val="000000"/>
          <w:sz w:val="24"/>
          <w:szCs w:val="24"/>
          <w:lang w:val="en-GB"/>
        </w:rPr>
      </w:pPr>
      <w:r>
        <w:rPr>
          <w:rFonts w:ascii="Arial" w:eastAsiaTheme="minorHAnsi" w:hAnsi="Arial" w:cs="Arial"/>
          <w:color w:val="000000"/>
          <w:sz w:val="24"/>
          <w:szCs w:val="24"/>
          <w:lang w:val="en-GB"/>
        </w:rPr>
        <w:t>Additionally, the instrument used for the analysis, should offer more then only the required compliance, as still human errors during the instrument use, could have a major impact on the quality of the results and their traceability.</w:t>
      </w:r>
    </w:p>
    <w:p w:rsidR="005973B9" w:rsidRDefault="0012072B" w:rsidP="0012072B">
      <w:pPr>
        <w:pStyle w:val="berschrift3"/>
        <w:spacing w:before="74"/>
        <w:rPr>
          <w:rFonts w:ascii="Calibri" w:hAnsi="Calibri"/>
        </w:rPr>
      </w:pPr>
      <w:r>
        <w:rPr>
          <w:rFonts w:eastAsiaTheme="minorHAnsi"/>
          <w:color w:val="000000"/>
          <w:sz w:val="24"/>
          <w:szCs w:val="24"/>
          <w:lang w:val="en-GB"/>
        </w:rPr>
        <w:t>Only actions and results, which are clearly and traceable documented, are trustworthy.</w:t>
      </w:r>
      <w:r w:rsidR="00A9710C">
        <w:rPr>
          <w:b w:val="0"/>
        </w:rPr>
        <w:br w:type="column"/>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Textkrper"/>
        <w:rPr>
          <w:rFonts w:ascii="Calibri"/>
          <w:sz w:val="20"/>
        </w:rPr>
      </w:pPr>
    </w:p>
    <w:p w:rsidR="00AE3E37" w:rsidRDefault="00292ED9">
      <w:pPr>
        <w:pStyle w:val="Textkrper"/>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pPr>
        <w:spacing w:before="62"/>
        <w:ind w:left="4217" w:right="4235"/>
        <w:jc w:val="center"/>
        <w:rPr>
          <w:rFonts w:ascii="Arial"/>
          <w:sz w:val="14"/>
        </w:rPr>
      </w:pPr>
      <w:r>
        <w:rPr>
          <w:rFonts w:ascii="Arial"/>
          <w:sz w:val="14"/>
        </w:rPr>
        <w:t xml:space="preserve">Email: </w:t>
      </w:r>
      <w:hyperlink r:id="rId10" w:history="1">
        <w:r w:rsidR="0012072B" w:rsidRPr="00217E96">
          <w:rPr>
            <w:rStyle w:val="Hyperlink"/>
            <w:rFonts w:ascii="Arial"/>
            <w:sz w:val="14"/>
          </w:rPr>
          <w:t>Joerg.baempfer@anton-paar.com</w:t>
        </w:r>
      </w:hyperlink>
    </w:p>
    <w:p w:rsidR="00AE3E37" w:rsidRDefault="00292ED9">
      <w:pPr>
        <w:pStyle w:val="Textkrper"/>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krper"/>
        <w:rPr>
          <w:rFonts w:ascii="Arial"/>
          <w:sz w:val="20"/>
        </w:rPr>
      </w:pPr>
    </w:p>
    <w:p w:rsidR="00AE3E37" w:rsidRDefault="00AE3E37">
      <w:pPr>
        <w:pStyle w:val="Textkrper"/>
        <w:rPr>
          <w:rFonts w:ascii="Arial"/>
          <w:sz w:val="20"/>
        </w:rPr>
      </w:pPr>
    </w:p>
    <w:p w:rsidR="00AE3E37" w:rsidRDefault="00AE3E37">
      <w:pPr>
        <w:pStyle w:val="Textkrper"/>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EBF" w:rsidRDefault="00390EBF">
      <w:r>
        <w:separator/>
      </w:r>
    </w:p>
  </w:endnote>
  <w:endnote w:type="continuationSeparator" w:id="0">
    <w:p w:rsidR="00390EBF" w:rsidRDefault="00390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krper"/>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EBF" w:rsidRDefault="00390EBF">
      <w:r>
        <w:separator/>
      </w:r>
    </w:p>
  </w:footnote>
  <w:footnote w:type="continuationSeparator" w:id="0">
    <w:p w:rsidR="00390EBF" w:rsidRDefault="00390E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krper"/>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072B"/>
    <w:rsid w:val="001263DF"/>
    <w:rsid w:val="00292ED9"/>
    <w:rsid w:val="00390EBF"/>
    <w:rsid w:val="00404E5B"/>
    <w:rsid w:val="00414F7B"/>
    <w:rsid w:val="004355DC"/>
    <w:rsid w:val="004749B4"/>
    <w:rsid w:val="00494130"/>
    <w:rsid w:val="004F3523"/>
    <w:rsid w:val="005973B9"/>
    <w:rsid w:val="005B3A56"/>
    <w:rsid w:val="006060CE"/>
    <w:rsid w:val="0063497F"/>
    <w:rsid w:val="00792B1B"/>
    <w:rsid w:val="00873DF0"/>
    <w:rsid w:val="008756E6"/>
    <w:rsid w:val="009B2D44"/>
    <w:rsid w:val="00A07E82"/>
    <w:rsid w:val="00A9710C"/>
    <w:rsid w:val="00AE3E37"/>
    <w:rsid w:val="00B21A57"/>
    <w:rsid w:val="00C33602"/>
    <w:rsid w:val="00CD6F55"/>
    <w:rsid w:val="00DE3104"/>
    <w:rsid w:val="00E4625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oerg.baempfer@anton-paar.co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1564</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Bämpfer, Jörg</cp:lastModifiedBy>
  <cp:revision>2</cp:revision>
  <dcterms:created xsi:type="dcterms:W3CDTF">2018-06-21T16:53:00Z</dcterms:created>
  <dcterms:modified xsi:type="dcterms:W3CDTF">2018-06-21T16:53:00Z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