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DC8" w:rsidRDefault="006B4DC8" w:rsidP="006B4DC8">
      <w:pPr>
        <w:tabs>
          <w:tab w:val="left" w:pos="0"/>
        </w:tabs>
        <w:jc w:val="center"/>
        <w:rPr>
          <w:b/>
          <w:bCs/>
          <w:sz w:val="20"/>
          <w:szCs w:val="20"/>
          <w:lang w:val="nl-NL"/>
        </w:rPr>
      </w:pPr>
      <w:r w:rsidRPr="00FF2D7D">
        <w:rPr>
          <w:b/>
          <w:bCs/>
          <w:sz w:val="20"/>
          <w:szCs w:val="20"/>
          <w:lang w:val="nl-NL"/>
        </w:rPr>
        <w:t xml:space="preserve">            </w:t>
      </w:r>
      <w:r>
        <w:rPr>
          <w:b/>
          <w:bCs/>
          <w:sz w:val="20"/>
          <w:szCs w:val="20"/>
          <w:lang w:val="nl-NL"/>
        </w:rPr>
        <w:t xml:space="preserve">  </w:t>
      </w:r>
      <w:r w:rsidRPr="00FF2D7D">
        <w:rPr>
          <w:b/>
          <w:bCs/>
          <w:sz w:val="20"/>
          <w:szCs w:val="20"/>
          <w:lang w:val="nl-NL"/>
        </w:rPr>
        <w:t xml:space="preserve">  </w:t>
      </w:r>
      <w:bookmarkStart w:id="0" w:name="_Hlk499034167"/>
      <w:r w:rsidRPr="00FF2D7D">
        <w:rPr>
          <w:b/>
          <w:bCs/>
          <w:sz w:val="20"/>
          <w:szCs w:val="20"/>
          <w:lang w:val="nl-NL"/>
        </w:rPr>
        <w:t>The effect of</w:t>
      </w:r>
      <w:r>
        <w:rPr>
          <w:b/>
          <w:bCs/>
          <w:sz w:val="20"/>
          <w:szCs w:val="20"/>
          <w:lang w:val="nl-NL"/>
        </w:rPr>
        <w:t xml:space="preserve"> antioxidant and filler type</w:t>
      </w:r>
      <w:r w:rsidRPr="00FF2D7D">
        <w:rPr>
          <w:b/>
          <w:bCs/>
          <w:sz w:val="20"/>
          <w:szCs w:val="20"/>
          <w:lang w:val="nl-NL"/>
        </w:rPr>
        <w:t xml:space="preserve"> on diltiAzem hydrochloride sustained release </w:t>
      </w:r>
      <w:r>
        <w:rPr>
          <w:b/>
          <w:bCs/>
          <w:sz w:val="20"/>
          <w:szCs w:val="20"/>
          <w:lang w:val="nl-NL"/>
        </w:rPr>
        <w:t>tablet</w:t>
      </w:r>
    </w:p>
    <w:p w:rsidR="006B4DC8" w:rsidRDefault="006B4DC8" w:rsidP="006B4DC8">
      <w:pPr>
        <w:tabs>
          <w:tab w:val="left" w:pos="0"/>
        </w:tabs>
        <w:jc w:val="center"/>
        <w:rPr>
          <w:b/>
          <w:bCs/>
          <w:sz w:val="20"/>
          <w:szCs w:val="20"/>
          <w:lang w:val="nl-NL"/>
        </w:rPr>
      </w:pPr>
      <w:r w:rsidRPr="00FF2D7D">
        <w:rPr>
          <w:b/>
          <w:bCs/>
          <w:sz w:val="20"/>
          <w:szCs w:val="20"/>
          <w:lang w:val="nl-NL"/>
        </w:rPr>
        <w:t>matrices containing polyethylene oxid</w:t>
      </w:r>
    </w:p>
    <w:p w:rsidR="006B4DC8" w:rsidRPr="002C18E2" w:rsidRDefault="006B4DC8" w:rsidP="006B4DC8">
      <w:pPr>
        <w:tabs>
          <w:tab w:val="left" w:pos="0"/>
        </w:tabs>
        <w:rPr>
          <w:sz w:val="20"/>
          <w:szCs w:val="20"/>
          <w:lang w:val="en-US"/>
        </w:rPr>
        <w:sectPr w:rsidR="006B4DC8" w:rsidRPr="002C18E2" w:rsidSect="00532276">
          <w:headerReference w:type="even" r:id="rId6"/>
          <w:pgSz w:w="11907" w:h="16839" w:code="9"/>
          <w:pgMar w:top="1077" w:right="1077" w:bottom="1077" w:left="1077" w:header="709" w:footer="448" w:gutter="0"/>
          <w:pgNumType w:start="0"/>
          <w:cols w:space="708"/>
          <w:docGrid w:linePitch="360"/>
        </w:sectPr>
      </w:pPr>
      <w:r w:rsidRPr="002C18E2">
        <w:rPr>
          <w:sz w:val="20"/>
          <w:szCs w:val="20"/>
          <w:lang w:val="en-US"/>
        </w:rPr>
        <w:t xml:space="preserve">                                                      Saeed Shojaee</w:t>
      </w:r>
      <w:r w:rsidRPr="002C18E2">
        <w:rPr>
          <w:sz w:val="20"/>
          <w:szCs w:val="20"/>
          <w:vertAlign w:val="superscript"/>
          <w:lang w:val="en-US"/>
        </w:rPr>
        <w:t>1</w:t>
      </w:r>
      <w:r w:rsidRPr="002C18E2">
        <w:rPr>
          <w:sz w:val="20"/>
          <w:szCs w:val="20"/>
          <w:lang w:val="en-US"/>
        </w:rPr>
        <w:t>,</w:t>
      </w:r>
      <w:r>
        <w:rPr>
          <w:sz w:val="20"/>
          <w:szCs w:val="20"/>
          <w:lang w:val="en-US"/>
        </w:rPr>
        <w:t xml:space="preserve"> Faezeh Majzoubi</w:t>
      </w:r>
      <w:r w:rsidRPr="002C18E2">
        <w:rPr>
          <w:sz w:val="20"/>
          <w:szCs w:val="20"/>
          <w:vertAlign w:val="superscript"/>
          <w:lang w:val="en-US"/>
        </w:rPr>
        <w:t>1,</w:t>
      </w:r>
      <w:r w:rsidRPr="002C18E2">
        <w:rPr>
          <w:sz w:val="20"/>
          <w:szCs w:val="20"/>
          <w:lang w:val="en-US"/>
        </w:rPr>
        <w:t>, Ali Nokhodchi</w:t>
      </w:r>
      <w:r w:rsidRPr="002C18E2">
        <w:rPr>
          <w:sz w:val="20"/>
          <w:szCs w:val="20"/>
          <w:vertAlign w:val="superscript"/>
          <w:lang w:val="en-US"/>
        </w:rPr>
        <w:t>1</w:t>
      </w:r>
    </w:p>
    <w:p w:rsidR="006B4DC8" w:rsidRPr="00E1086A" w:rsidRDefault="006B4DC8" w:rsidP="006B4DC8">
      <w:pPr>
        <w:tabs>
          <w:tab w:val="left" w:pos="360"/>
        </w:tabs>
        <w:jc w:val="both"/>
        <w:rPr>
          <w:b/>
          <w:bCs/>
          <w:sz w:val="20"/>
          <w:szCs w:val="20"/>
        </w:rPr>
      </w:pPr>
      <w:r>
        <w:rPr>
          <w:sz w:val="20"/>
          <w:szCs w:val="20"/>
          <w:lang w:val="en-US"/>
        </w:rPr>
        <w:lastRenderedPageBreak/>
        <w:t xml:space="preserve"> </w:t>
      </w:r>
      <w:r w:rsidRPr="00E1086A">
        <w:rPr>
          <w:sz w:val="20"/>
          <w:szCs w:val="20"/>
          <w:vertAlign w:val="superscript"/>
          <w:lang w:val="en-US"/>
        </w:rPr>
        <w:t>1</w:t>
      </w:r>
      <w:r>
        <w:rPr>
          <w:sz w:val="20"/>
          <w:szCs w:val="20"/>
          <w:lang w:val="en-US"/>
        </w:rPr>
        <w:t xml:space="preserve">School </w:t>
      </w:r>
      <w:r w:rsidRPr="00E1086A">
        <w:rPr>
          <w:sz w:val="20"/>
          <w:szCs w:val="20"/>
          <w:lang w:val="en-US"/>
        </w:rPr>
        <w:t>of life and science</w:t>
      </w:r>
      <w:r>
        <w:rPr>
          <w:sz w:val="20"/>
          <w:szCs w:val="20"/>
          <w:lang w:val="en-US"/>
        </w:rPr>
        <w:t>, Sussex University, UK</w:t>
      </w:r>
      <w:r w:rsidRPr="00E1086A">
        <w:rPr>
          <w:b/>
          <w:bCs/>
          <w:sz w:val="20"/>
          <w:szCs w:val="20"/>
        </w:rPr>
        <w:t xml:space="preserve"> </w:t>
      </w:r>
    </w:p>
    <w:p w:rsidR="006B4DC8" w:rsidRDefault="006B4DC8" w:rsidP="006B4DC8">
      <w:pPr>
        <w:tabs>
          <w:tab w:val="left" w:pos="360"/>
        </w:tabs>
        <w:jc w:val="both"/>
        <w:rPr>
          <w:b/>
          <w:bCs/>
          <w:sz w:val="20"/>
          <w:szCs w:val="20"/>
        </w:rPr>
      </w:pPr>
      <w:r w:rsidRPr="00C875A1">
        <w:rPr>
          <w:b/>
          <w:bCs/>
          <w:sz w:val="20"/>
          <w:szCs w:val="20"/>
        </w:rPr>
        <w:t>INTRODUCTION</w:t>
      </w:r>
    </w:p>
    <w:p w:rsidR="006B4DC8" w:rsidRPr="00FF2D7D" w:rsidRDefault="006B4DC8" w:rsidP="006B4DC8">
      <w:pPr>
        <w:tabs>
          <w:tab w:val="left" w:pos="360"/>
        </w:tabs>
        <w:jc w:val="both"/>
        <w:rPr>
          <w:b/>
          <w:bCs/>
          <w:sz w:val="20"/>
          <w:szCs w:val="20"/>
        </w:rPr>
      </w:pPr>
      <w:r w:rsidRPr="006171A0">
        <w:rPr>
          <w:sz w:val="20"/>
          <w:szCs w:val="20"/>
          <w:lang w:val="en-US"/>
        </w:rPr>
        <w:t xml:space="preserve"> </w:t>
      </w:r>
      <w:r w:rsidRPr="006171A0">
        <w:rPr>
          <w:sz w:val="20"/>
          <w:szCs w:val="20"/>
        </w:rPr>
        <w:t>Polyethylene oxide (PEO) is one of the hydrophilic polymers that have been extensively used to prepare sustained and modified release dosage forms</w:t>
      </w:r>
      <w:r w:rsidRPr="00C875A1">
        <w:rPr>
          <w:sz w:val="20"/>
          <w:szCs w:val="20"/>
          <w:vertAlign w:val="superscript"/>
        </w:rPr>
        <w:t>1</w:t>
      </w:r>
      <w:r>
        <w:rPr>
          <w:sz w:val="20"/>
          <w:szCs w:val="20"/>
          <w:lang w:val="nl-NL"/>
        </w:rPr>
        <w:t>.</w:t>
      </w:r>
      <w:r w:rsidRPr="006171A0">
        <w:rPr>
          <w:sz w:val="20"/>
          <w:szCs w:val="20"/>
          <w:lang w:val="nl-NL"/>
        </w:rPr>
        <w:t>The objective of this study is to investigate the effect of vitamin E succinate and different fillers (mannitol and DCP) on release rate stability of highly soluble drug diltiazem HCl containing Polyethylene oxides.</w:t>
      </w:r>
      <w:r w:rsidRPr="006171A0">
        <w:rPr>
          <w:sz w:val="20"/>
          <w:szCs w:val="20"/>
        </w:rPr>
        <w:t xml:space="preserve"> </w:t>
      </w:r>
    </w:p>
    <w:p w:rsidR="006B4DC8" w:rsidRPr="00C875A1" w:rsidRDefault="006B4DC8" w:rsidP="006B4DC8">
      <w:pPr>
        <w:jc w:val="both"/>
        <w:rPr>
          <w:sz w:val="20"/>
          <w:szCs w:val="20"/>
        </w:rPr>
      </w:pPr>
    </w:p>
    <w:p w:rsidR="006B4DC8" w:rsidRPr="00C875A1" w:rsidRDefault="006B4DC8" w:rsidP="006B4DC8">
      <w:pPr>
        <w:tabs>
          <w:tab w:val="left" w:pos="360"/>
        </w:tabs>
        <w:jc w:val="both"/>
        <w:rPr>
          <w:b/>
          <w:bCs/>
          <w:sz w:val="20"/>
          <w:szCs w:val="20"/>
        </w:rPr>
      </w:pPr>
      <w:r w:rsidRPr="00C875A1">
        <w:rPr>
          <w:b/>
          <w:bCs/>
          <w:sz w:val="20"/>
          <w:szCs w:val="20"/>
        </w:rPr>
        <w:t>EXPERIMENTAL METHODS</w:t>
      </w:r>
    </w:p>
    <w:p w:rsidR="006B4DC8" w:rsidRPr="006819E0" w:rsidRDefault="006B4DC8" w:rsidP="006B4DC8">
      <w:pPr>
        <w:jc w:val="both"/>
        <w:rPr>
          <w:sz w:val="20"/>
          <w:szCs w:val="20"/>
          <w:lang w:val="en-US"/>
        </w:rPr>
      </w:pPr>
      <w:r>
        <w:rPr>
          <w:sz w:val="20"/>
          <w:szCs w:val="20"/>
        </w:rPr>
        <w:t>Diltiazem hydrochloride was</w:t>
      </w:r>
      <w:r w:rsidRPr="00FF2D7D">
        <w:rPr>
          <w:sz w:val="20"/>
          <w:szCs w:val="20"/>
        </w:rPr>
        <w:t xml:space="preserve"> obtained from Elan Drug </w:t>
      </w:r>
      <w:r>
        <w:rPr>
          <w:sz w:val="20"/>
          <w:szCs w:val="20"/>
        </w:rPr>
        <w:t>Technologies. PEO grade 303, Vitamin E,</w:t>
      </w:r>
      <w:r w:rsidRPr="00FF2D7D">
        <w:rPr>
          <w:sz w:val="20"/>
          <w:szCs w:val="20"/>
        </w:rPr>
        <w:t xml:space="preserve"> Mannitol and dicalcium phosphate dehydrate were obtained from Merck, Germany. Diltiazem HCl</w:t>
      </w:r>
      <w:r w:rsidRPr="00AB3B99">
        <w:rPr>
          <w:b/>
          <w:bCs/>
          <w:sz w:val="20"/>
          <w:szCs w:val="20"/>
        </w:rPr>
        <w:t>:</w:t>
      </w:r>
      <w:r w:rsidRPr="00FF2D7D">
        <w:rPr>
          <w:sz w:val="20"/>
          <w:szCs w:val="20"/>
        </w:rPr>
        <w:t>PEO with a ratio of (1:1) was</w:t>
      </w:r>
      <w:r>
        <w:rPr>
          <w:sz w:val="20"/>
          <w:szCs w:val="20"/>
        </w:rPr>
        <w:t xml:space="preserve"> prepared and</w:t>
      </w:r>
      <w:r w:rsidRPr="00FF2D7D">
        <w:rPr>
          <w:sz w:val="20"/>
          <w:szCs w:val="20"/>
        </w:rPr>
        <w:t xml:space="preserve"> Ma</w:t>
      </w:r>
      <w:r>
        <w:rPr>
          <w:sz w:val="20"/>
          <w:szCs w:val="20"/>
        </w:rPr>
        <w:t>trix tablets</w:t>
      </w:r>
      <w:r w:rsidRPr="00FF2D7D">
        <w:rPr>
          <w:sz w:val="20"/>
          <w:szCs w:val="20"/>
        </w:rPr>
        <w:t xml:space="preserve"> with target weights of 240 mg</w:t>
      </w:r>
      <w:r>
        <w:rPr>
          <w:sz w:val="20"/>
          <w:szCs w:val="20"/>
        </w:rPr>
        <w:t xml:space="preserve"> for pure samples, 242.4 </w:t>
      </w:r>
      <w:r w:rsidRPr="00FF2D7D">
        <w:rPr>
          <w:sz w:val="20"/>
          <w:szCs w:val="20"/>
        </w:rPr>
        <w:t>tablets containing Vit E</w:t>
      </w:r>
      <w:r>
        <w:rPr>
          <w:sz w:val="20"/>
          <w:szCs w:val="20"/>
        </w:rPr>
        <w:t xml:space="preserve"> and 300 mg for filler tablets </w:t>
      </w:r>
      <w:r w:rsidRPr="00FF2D7D">
        <w:rPr>
          <w:sz w:val="20"/>
          <w:szCs w:val="20"/>
        </w:rPr>
        <w:t xml:space="preserve">were prepared by the compression of the above mixtures at 1500 psi.  In order to investigate the effect of different filler types diltiazem HCl </w:t>
      </w:r>
      <w:r w:rsidRPr="001B4C18">
        <w:rPr>
          <w:b/>
          <w:bCs/>
          <w:sz w:val="20"/>
          <w:szCs w:val="20"/>
        </w:rPr>
        <w:t>:</w:t>
      </w:r>
      <w:r w:rsidRPr="00FF2D7D">
        <w:rPr>
          <w:sz w:val="20"/>
          <w:szCs w:val="20"/>
        </w:rPr>
        <w:t xml:space="preserve"> PEO </w:t>
      </w:r>
      <w:r w:rsidRPr="00E11B2A">
        <w:rPr>
          <w:b/>
          <w:bCs/>
          <w:sz w:val="20"/>
          <w:szCs w:val="20"/>
        </w:rPr>
        <w:t>:</w:t>
      </w:r>
      <w:r w:rsidRPr="00FF2D7D">
        <w:rPr>
          <w:sz w:val="20"/>
          <w:szCs w:val="20"/>
        </w:rPr>
        <w:t xml:space="preserve"> filler with a ratio of (1:1: 0.5) was prepared and mixed .Then the mixture was compressed at the same</w:t>
      </w:r>
      <w:r>
        <w:rPr>
          <w:sz w:val="20"/>
          <w:szCs w:val="20"/>
        </w:rPr>
        <w:t xml:space="preserve"> conditions as described above. Drug release was</w:t>
      </w:r>
      <w:r w:rsidRPr="00FF2D7D">
        <w:rPr>
          <w:sz w:val="20"/>
          <w:szCs w:val="20"/>
        </w:rPr>
        <w:t xml:space="preserve"> determined by dissolution testing for these tablets. Dissolution testing was performed for the non-aged polymer as the control. These were considered as zero (0) week. The USP paddle method (Erweka, Germany) was used to monitor the dissolution profiles of diltiazem HCl. The dissolution medium was 900 ml distillate water equilibrated to 37 ºC + 0.1 ºC and the paddles were rotated at 1</w:t>
      </w:r>
      <w:r>
        <w:rPr>
          <w:sz w:val="20"/>
          <w:szCs w:val="20"/>
        </w:rPr>
        <w:t xml:space="preserve">00 rpm. Viscosity of samples also was done using </w:t>
      </w:r>
      <w:r>
        <w:rPr>
          <w:sz w:val="20"/>
          <w:szCs w:val="20"/>
          <w:lang w:val="en-US"/>
        </w:rPr>
        <w:t>the</w:t>
      </w:r>
      <w:r w:rsidRPr="00A76AB0">
        <w:rPr>
          <w:sz w:val="20"/>
          <w:szCs w:val="20"/>
        </w:rPr>
        <w:t xml:space="preserve"> Dr. Schleuniger® Pharmatron</w:t>
      </w:r>
      <w:r>
        <w:rPr>
          <w:sz w:val="20"/>
          <w:szCs w:val="20"/>
        </w:rPr>
        <w:t>.</w:t>
      </w:r>
    </w:p>
    <w:p w:rsidR="006B4DC8" w:rsidRPr="00A76AB0" w:rsidRDefault="006B4DC8" w:rsidP="006B4DC8">
      <w:pPr>
        <w:jc w:val="both"/>
        <w:rPr>
          <w:sz w:val="16"/>
          <w:szCs w:val="16"/>
        </w:rPr>
      </w:pPr>
    </w:p>
    <w:p w:rsidR="006B4DC8" w:rsidRPr="00C875A1" w:rsidRDefault="006B4DC8" w:rsidP="006B4DC8">
      <w:pPr>
        <w:tabs>
          <w:tab w:val="left" w:pos="360"/>
        </w:tabs>
        <w:jc w:val="both"/>
        <w:rPr>
          <w:b/>
          <w:bCs/>
          <w:sz w:val="20"/>
          <w:szCs w:val="20"/>
        </w:rPr>
      </w:pPr>
      <w:r w:rsidRPr="00C875A1">
        <w:rPr>
          <w:b/>
          <w:bCs/>
          <w:sz w:val="20"/>
          <w:szCs w:val="20"/>
        </w:rPr>
        <w:t>RESULTS AND DISCUSSION</w:t>
      </w:r>
    </w:p>
    <w:p w:rsidR="006B4DC8" w:rsidRDefault="006B4DC8" w:rsidP="006B4DC8">
      <w:pPr>
        <w:jc w:val="both"/>
        <w:rPr>
          <w:sz w:val="20"/>
          <w:szCs w:val="20"/>
        </w:rPr>
      </w:pPr>
      <w:r w:rsidRPr="0089370A">
        <w:rPr>
          <w:sz w:val="20"/>
          <w:szCs w:val="20"/>
        </w:rPr>
        <w:t xml:space="preserve">The effect of storage conditions showed that the release rate of the drug was significantly increased from tablets that were stored for longer periods at 40 ◦C. That is to say, drug release was faster at longer storage times </w:t>
      </w:r>
    </w:p>
    <w:p w:rsidR="006B4DC8" w:rsidRDefault="006B4DC8" w:rsidP="006B4DC8">
      <w:pPr>
        <w:jc w:val="both"/>
        <w:rPr>
          <w:sz w:val="20"/>
          <w:szCs w:val="20"/>
        </w:rPr>
      </w:pPr>
      <w:r w:rsidRPr="0089370A">
        <w:rPr>
          <w:sz w:val="20"/>
          <w:szCs w:val="20"/>
        </w:rPr>
        <w:t xml:space="preserve">(8 &gt; </w:t>
      </w:r>
      <w:r>
        <w:rPr>
          <w:sz w:val="20"/>
          <w:szCs w:val="20"/>
        </w:rPr>
        <w:t>4 &gt; 2 &gt; 0 weeks) Figure 1(A</w:t>
      </w:r>
      <w:r w:rsidRPr="0089370A">
        <w:rPr>
          <w:sz w:val="20"/>
          <w:szCs w:val="20"/>
        </w:rPr>
        <w:t xml:space="preserve">). The increase in drug release is </w:t>
      </w:r>
      <w:r>
        <w:rPr>
          <w:sz w:val="20"/>
          <w:szCs w:val="20"/>
        </w:rPr>
        <w:t>expected to be due to oxidative degradation</w:t>
      </w:r>
      <w:r w:rsidRPr="00F855B1">
        <w:rPr>
          <w:sz w:val="20"/>
          <w:szCs w:val="20"/>
        </w:rPr>
        <w:t xml:space="preserve"> </w:t>
      </w:r>
      <w:r w:rsidRPr="0089370A">
        <w:rPr>
          <w:sz w:val="20"/>
          <w:szCs w:val="20"/>
        </w:rPr>
        <w:t xml:space="preserve">Primarily in the amorphous region of </w:t>
      </w:r>
      <w:r>
        <w:rPr>
          <w:sz w:val="20"/>
          <w:szCs w:val="20"/>
        </w:rPr>
        <w:t>the polymers</w:t>
      </w:r>
      <w:r>
        <w:rPr>
          <w:sz w:val="20"/>
          <w:szCs w:val="20"/>
          <w:vertAlign w:val="superscript"/>
        </w:rPr>
        <w:t>1</w:t>
      </w:r>
      <w:r>
        <w:rPr>
          <w:sz w:val="20"/>
          <w:szCs w:val="20"/>
        </w:rPr>
        <w:t>.</w:t>
      </w:r>
    </w:p>
    <w:p w:rsidR="006B4DC8" w:rsidRPr="00A21D9B" w:rsidRDefault="006B4DC8" w:rsidP="006B4DC8">
      <w:pPr>
        <w:jc w:val="both"/>
        <w:rPr>
          <w:sz w:val="20"/>
          <w:szCs w:val="20"/>
          <w:lang w:val="en-US"/>
        </w:rPr>
      </w:pPr>
      <w:r>
        <w:rPr>
          <w:sz w:val="20"/>
          <w:szCs w:val="20"/>
        </w:rPr>
        <w:t xml:space="preserve"> The results in Figure 2 (</w:t>
      </w:r>
      <w:r w:rsidRPr="0089370A">
        <w:rPr>
          <w:sz w:val="20"/>
          <w:szCs w:val="20"/>
        </w:rPr>
        <w:t>B)</w:t>
      </w:r>
      <w:r>
        <w:rPr>
          <w:sz w:val="20"/>
          <w:szCs w:val="20"/>
        </w:rPr>
        <w:t xml:space="preserve"> also</w:t>
      </w:r>
      <w:r w:rsidRPr="0089370A">
        <w:rPr>
          <w:sz w:val="20"/>
          <w:szCs w:val="20"/>
        </w:rPr>
        <w:t xml:space="preserve"> showed that there was a significant decrease in the drug release rate of the formulations that contained all concentra</w:t>
      </w:r>
      <w:r>
        <w:rPr>
          <w:sz w:val="20"/>
          <w:szCs w:val="20"/>
        </w:rPr>
        <w:t>tions of  Vit E used (</w:t>
      </w:r>
      <w:r w:rsidRPr="0089370A">
        <w:rPr>
          <w:sz w:val="20"/>
          <w:szCs w:val="20"/>
        </w:rPr>
        <w:t>1% w/</w:t>
      </w:r>
      <w:r>
        <w:rPr>
          <w:sz w:val="20"/>
          <w:szCs w:val="20"/>
        </w:rPr>
        <w:t>w).</w:t>
      </w:r>
      <w:r w:rsidRPr="00BE7F7C">
        <w:rPr>
          <w:sz w:val="20"/>
          <w:szCs w:val="20"/>
        </w:rPr>
        <w:t xml:space="preserve"> </w:t>
      </w:r>
      <w:r>
        <w:rPr>
          <w:sz w:val="20"/>
          <w:szCs w:val="20"/>
        </w:rPr>
        <w:t xml:space="preserve">In other words, the use of </w:t>
      </w:r>
      <w:r w:rsidRPr="0089370A">
        <w:rPr>
          <w:sz w:val="20"/>
          <w:szCs w:val="20"/>
        </w:rPr>
        <w:t>Vit E PEO decreased the rapid drug release occurring as a result of the storage time (2, 4, 8 weeks) at 40◦C. The reason behind this phenomenon could be when Vit E was dispersed in the PEO containing drug, it delayed the penetration of oxygen (O2) into the PEO matrix during the storage time</w:t>
      </w:r>
      <w:r>
        <w:rPr>
          <w:b/>
          <w:bCs/>
          <w:sz w:val="20"/>
          <w:szCs w:val="20"/>
          <w:vertAlign w:val="superscript"/>
        </w:rPr>
        <w:t>1</w:t>
      </w:r>
      <w:r>
        <w:rPr>
          <w:sz w:val="20"/>
          <w:szCs w:val="20"/>
        </w:rPr>
        <w:t>{Figure2(</w:t>
      </w:r>
      <w:r w:rsidRPr="0089370A">
        <w:rPr>
          <w:sz w:val="20"/>
          <w:szCs w:val="20"/>
        </w:rPr>
        <w:t>B)</w:t>
      </w:r>
      <w:r>
        <w:rPr>
          <w:sz w:val="20"/>
          <w:szCs w:val="20"/>
        </w:rPr>
        <w:t>]</w:t>
      </w:r>
      <w:r w:rsidRPr="0089370A">
        <w:rPr>
          <w:sz w:val="20"/>
          <w:szCs w:val="20"/>
        </w:rPr>
        <w:t>. These resul</w:t>
      </w:r>
      <w:r>
        <w:rPr>
          <w:sz w:val="20"/>
          <w:szCs w:val="20"/>
        </w:rPr>
        <w:t xml:space="preserve">ts confirmed by viscosity data </w:t>
      </w:r>
      <w:r w:rsidRPr="0089370A">
        <w:rPr>
          <w:sz w:val="20"/>
          <w:szCs w:val="20"/>
        </w:rPr>
        <w:t>w</w:t>
      </w:r>
      <w:r>
        <w:rPr>
          <w:sz w:val="20"/>
          <w:szCs w:val="20"/>
        </w:rPr>
        <w:t>hich they are shown in Figure (2).</w:t>
      </w:r>
      <w:r w:rsidRPr="0089370A">
        <w:rPr>
          <w:sz w:val="20"/>
          <w:szCs w:val="20"/>
        </w:rPr>
        <w:t xml:space="preserve"> As it can be seen from Figu</w:t>
      </w:r>
      <w:r>
        <w:rPr>
          <w:sz w:val="20"/>
          <w:szCs w:val="20"/>
        </w:rPr>
        <w:t>re (2</w:t>
      </w:r>
      <w:r w:rsidRPr="0089370A">
        <w:rPr>
          <w:sz w:val="20"/>
          <w:szCs w:val="20"/>
        </w:rPr>
        <w:t xml:space="preserve">) the viscosity of the polyox samples containing Vit E is higher than the same samples without Vit  E. </w:t>
      </w:r>
      <w:r>
        <w:rPr>
          <w:sz w:val="20"/>
          <w:szCs w:val="20"/>
        </w:rPr>
        <w:t>Fig.3 (A,</w:t>
      </w:r>
      <w:r w:rsidRPr="00CF0698">
        <w:rPr>
          <w:sz w:val="20"/>
          <w:szCs w:val="20"/>
        </w:rPr>
        <w:t>B) sh</w:t>
      </w:r>
      <w:r>
        <w:rPr>
          <w:sz w:val="20"/>
          <w:szCs w:val="20"/>
        </w:rPr>
        <w:t>ows</w:t>
      </w:r>
      <w:r w:rsidRPr="00CF0698">
        <w:rPr>
          <w:sz w:val="20"/>
          <w:szCs w:val="20"/>
        </w:rPr>
        <w:t xml:space="preserve"> that there was a significant decrease in the drug release rate of the formulations contained mannitol and dicalcium phosphate (</w:t>
      </w:r>
      <w:r>
        <w:rPr>
          <w:sz w:val="20"/>
          <w:szCs w:val="20"/>
        </w:rPr>
        <w:t>DCP)</w:t>
      </w:r>
      <w:r w:rsidRPr="00CF0698">
        <w:rPr>
          <w:sz w:val="20"/>
          <w:szCs w:val="20"/>
        </w:rPr>
        <w:t>. This can be attributed to an increase in viscosity of gel layer and also they are able to form a complex with a cationi</w:t>
      </w:r>
      <w:r>
        <w:rPr>
          <w:sz w:val="20"/>
          <w:szCs w:val="20"/>
        </w:rPr>
        <w:t xml:space="preserve">c drug </w:t>
      </w:r>
      <w:r>
        <w:rPr>
          <w:b/>
          <w:bCs/>
          <w:sz w:val="20"/>
          <w:szCs w:val="20"/>
          <w:vertAlign w:val="superscript"/>
        </w:rPr>
        <w:t>1</w:t>
      </w:r>
      <w:r>
        <w:rPr>
          <w:sz w:val="20"/>
          <w:szCs w:val="20"/>
          <w:lang w:val="en-US"/>
        </w:rPr>
        <w:t>.</w:t>
      </w:r>
    </w:p>
    <w:p w:rsidR="006B4DC8" w:rsidRDefault="006B4DC8" w:rsidP="006B4DC8">
      <w:pPr>
        <w:jc w:val="both"/>
        <w:rPr>
          <w:sz w:val="20"/>
          <w:szCs w:val="20"/>
        </w:rPr>
      </w:pPr>
    </w:p>
    <w:p w:rsidR="006B4DC8" w:rsidRDefault="006B4DC8" w:rsidP="006B4DC8">
      <w:pPr>
        <w:jc w:val="both"/>
        <w:rPr>
          <w:sz w:val="20"/>
          <w:szCs w:val="20"/>
        </w:rPr>
      </w:pPr>
    </w:p>
    <w:p w:rsidR="006B4DC8" w:rsidRDefault="006B4DC8" w:rsidP="006B4DC8">
      <w:pPr>
        <w:jc w:val="both"/>
      </w:pPr>
      <w:r>
        <w:rPr>
          <w:noProof/>
          <w:lang w:val="en-US" w:eastAsia="en-US"/>
        </w:rPr>
        <w:drawing>
          <wp:inline distT="0" distB="0" distL="0" distR="0">
            <wp:extent cx="2867660" cy="1177925"/>
            <wp:effectExtent l="19050" t="0" r="8890" b="0"/>
            <wp:docPr id="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srcRect/>
                    <a:stretch>
                      <a:fillRect/>
                    </a:stretch>
                  </pic:blipFill>
                  <pic:spPr bwMode="auto">
                    <a:xfrm>
                      <a:off x="0" y="0"/>
                      <a:ext cx="2867660" cy="1177925"/>
                    </a:xfrm>
                    <a:prstGeom prst="rect">
                      <a:avLst/>
                    </a:prstGeom>
                    <a:noFill/>
                    <a:ln w="9525">
                      <a:noFill/>
                      <a:miter lim="800000"/>
                      <a:headEnd/>
                      <a:tailEnd/>
                    </a:ln>
                  </pic:spPr>
                </pic:pic>
              </a:graphicData>
            </a:graphic>
          </wp:inline>
        </w:drawing>
      </w:r>
    </w:p>
    <w:p w:rsidR="006B4DC8" w:rsidRDefault="006B4DC8" w:rsidP="006B4DC8">
      <w:pPr>
        <w:jc w:val="both"/>
      </w:pPr>
      <w:r>
        <w:rPr>
          <w:noProof/>
          <w:lang w:val="en-US" w:eastAsia="en-US"/>
        </w:rPr>
        <w:drawing>
          <wp:inline distT="0" distB="0" distL="0" distR="0">
            <wp:extent cx="2867660" cy="1148715"/>
            <wp:effectExtent l="19050" t="0" r="8890" b="0"/>
            <wp:docPr id="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srcRect/>
                    <a:stretch>
                      <a:fillRect/>
                    </a:stretch>
                  </pic:blipFill>
                  <pic:spPr bwMode="auto">
                    <a:xfrm>
                      <a:off x="0" y="0"/>
                      <a:ext cx="2867660" cy="1148715"/>
                    </a:xfrm>
                    <a:prstGeom prst="rect">
                      <a:avLst/>
                    </a:prstGeom>
                    <a:noFill/>
                    <a:ln w="9525">
                      <a:noFill/>
                      <a:miter lim="800000"/>
                      <a:headEnd/>
                      <a:tailEnd/>
                    </a:ln>
                  </pic:spPr>
                </pic:pic>
              </a:graphicData>
            </a:graphic>
          </wp:inline>
        </w:drawing>
      </w:r>
    </w:p>
    <w:p w:rsidR="006B4DC8" w:rsidRPr="004D55E9" w:rsidRDefault="006B4DC8" w:rsidP="006B4DC8">
      <w:pPr>
        <w:jc w:val="both"/>
        <w:rPr>
          <w:b/>
          <w:bCs/>
          <w:sz w:val="20"/>
          <w:szCs w:val="20"/>
          <w:lang w:val="en-US"/>
        </w:rPr>
      </w:pPr>
      <w:r w:rsidRPr="00F172B1">
        <w:rPr>
          <w:b/>
          <w:bCs/>
          <w:sz w:val="20"/>
          <w:szCs w:val="20"/>
        </w:rPr>
        <w:t>Fig.1.  Ef</w:t>
      </w:r>
      <w:r>
        <w:rPr>
          <w:b/>
          <w:bCs/>
          <w:sz w:val="20"/>
          <w:szCs w:val="20"/>
        </w:rPr>
        <w:t>fect of storage time  and Vit Eo</w:t>
      </w:r>
      <w:r w:rsidRPr="00F172B1">
        <w:rPr>
          <w:b/>
          <w:bCs/>
          <w:sz w:val="20"/>
          <w:szCs w:val="20"/>
        </w:rPr>
        <w:t>n drug release profile from A) Pure PEO 303, B) PEO 303 with vit E</w:t>
      </w:r>
      <w:r>
        <w:rPr>
          <w:b/>
          <w:bCs/>
          <w:sz w:val="20"/>
          <w:szCs w:val="20"/>
        </w:rPr>
        <w:t>.</w:t>
      </w:r>
      <w:r w:rsidRPr="00F172B1">
        <w:rPr>
          <w:b/>
          <w:bCs/>
          <w:sz w:val="20"/>
          <w:szCs w:val="20"/>
        </w:rPr>
        <w:t xml:space="preserve"> </w:t>
      </w:r>
    </w:p>
    <w:p w:rsidR="006B4DC8" w:rsidRDefault="006B4DC8" w:rsidP="006B4DC8">
      <w:pPr>
        <w:jc w:val="both"/>
        <w:rPr>
          <w:sz w:val="20"/>
          <w:szCs w:val="20"/>
        </w:rPr>
      </w:pPr>
      <w:r>
        <w:rPr>
          <w:noProof/>
          <w:lang w:val="en-US" w:eastAsia="en-US"/>
        </w:rPr>
        <w:drawing>
          <wp:inline distT="0" distB="0" distL="0" distR="0">
            <wp:extent cx="2765425" cy="1294765"/>
            <wp:effectExtent l="0" t="0" r="0" b="0"/>
            <wp:docPr id="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2765425" cy="1294765"/>
                    </a:xfrm>
                    <a:prstGeom prst="rect">
                      <a:avLst/>
                    </a:prstGeom>
                    <a:noFill/>
                    <a:ln w="9525">
                      <a:noFill/>
                      <a:miter lim="800000"/>
                      <a:headEnd/>
                      <a:tailEnd/>
                    </a:ln>
                  </pic:spPr>
                </pic:pic>
              </a:graphicData>
            </a:graphic>
          </wp:inline>
        </w:drawing>
      </w:r>
    </w:p>
    <w:p w:rsidR="006B4DC8" w:rsidRPr="00BE7F7C" w:rsidRDefault="006B4DC8" w:rsidP="006B4DC8">
      <w:pPr>
        <w:rPr>
          <w:sz w:val="20"/>
          <w:szCs w:val="20"/>
          <w:lang w:val="en-US"/>
        </w:rPr>
      </w:pPr>
      <w:r>
        <w:rPr>
          <w:b/>
          <w:bCs/>
          <w:sz w:val="20"/>
          <w:szCs w:val="20"/>
        </w:rPr>
        <w:t>Fig.2</w:t>
      </w:r>
      <w:r w:rsidRPr="00BE7F7C">
        <w:rPr>
          <w:b/>
          <w:bCs/>
          <w:sz w:val="20"/>
          <w:szCs w:val="20"/>
        </w:rPr>
        <w:t xml:space="preserve">. Viscosity data without and with </w:t>
      </w:r>
      <w:r>
        <w:rPr>
          <w:b/>
          <w:bCs/>
          <w:sz w:val="20"/>
          <w:szCs w:val="20"/>
        </w:rPr>
        <w:t xml:space="preserve">vitamin </w:t>
      </w:r>
      <w:r w:rsidRPr="00BE7F7C">
        <w:rPr>
          <w:b/>
          <w:bCs/>
          <w:sz w:val="20"/>
          <w:szCs w:val="20"/>
        </w:rPr>
        <w:t>(1%)</w:t>
      </w:r>
    </w:p>
    <w:p w:rsidR="006B4DC8" w:rsidRPr="00A21D9B" w:rsidRDefault="006B4DC8" w:rsidP="006B4DC8">
      <w:pPr>
        <w:jc w:val="both"/>
        <w:rPr>
          <w:sz w:val="20"/>
          <w:szCs w:val="20"/>
          <w:lang w:val="en-US"/>
        </w:rPr>
      </w:pPr>
    </w:p>
    <w:p w:rsidR="006B4DC8" w:rsidRDefault="006B4DC8" w:rsidP="006B4DC8">
      <w:pPr>
        <w:tabs>
          <w:tab w:val="left" w:pos="360"/>
        </w:tabs>
      </w:pPr>
      <w:r>
        <w:rPr>
          <w:noProof/>
          <w:lang w:val="en-US" w:eastAsia="en-US"/>
        </w:rPr>
        <w:drawing>
          <wp:inline distT="0" distB="0" distL="0" distR="0">
            <wp:extent cx="2867660" cy="1111885"/>
            <wp:effectExtent l="19050" t="0" r="8890" b="0"/>
            <wp:docPr id="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srcRect/>
                    <a:stretch>
                      <a:fillRect/>
                    </a:stretch>
                  </pic:blipFill>
                  <pic:spPr bwMode="auto">
                    <a:xfrm>
                      <a:off x="0" y="0"/>
                      <a:ext cx="2867660" cy="1111885"/>
                    </a:xfrm>
                    <a:prstGeom prst="rect">
                      <a:avLst/>
                    </a:prstGeom>
                    <a:noFill/>
                    <a:ln w="9525">
                      <a:noFill/>
                      <a:miter lim="800000"/>
                      <a:headEnd/>
                      <a:tailEnd/>
                    </a:ln>
                  </pic:spPr>
                </pic:pic>
              </a:graphicData>
            </a:graphic>
          </wp:inline>
        </w:drawing>
      </w:r>
    </w:p>
    <w:p w:rsidR="006B4DC8" w:rsidRPr="00B57975" w:rsidRDefault="006B4DC8" w:rsidP="006B4DC8">
      <w:pPr>
        <w:tabs>
          <w:tab w:val="left" w:pos="360"/>
        </w:tabs>
      </w:pPr>
      <w:r>
        <w:rPr>
          <w:noProof/>
          <w:lang w:val="en-US" w:eastAsia="en-US"/>
        </w:rPr>
        <w:drawing>
          <wp:inline distT="0" distB="0" distL="0" distR="0">
            <wp:extent cx="2867660" cy="1141095"/>
            <wp:effectExtent l="19050" t="0" r="8890" b="0"/>
            <wp:docPr id="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srcRect/>
                    <a:stretch>
                      <a:fillRect/>
                    </a:stretch>
                  </pic:blipFill>
                  <pic:spPr bwMode="auto">
                    <a:xfrm>
                      <a:off x="0" y="0"/>
                      <a:ext cx="2867660" cy="1141095"/>
                    </a:xfrm>
                    <a:prstGeom prst="rect">
                      <a:avLst/>
                    </a:prstGeom>
                    <a:noFill/>
                    <a:ln w="9525">
                      <a:noFill/>
                      <a:miter lim="800000"/>
                      <a:headEnd/>
                      <a:tailEnd/>
                    </a:ln>
                  </pic:spPr>
                </pic:pic>
              </a:graphicData>
            </a:graphic>
          </wp:inline>
        </w:drawing>
      </w:r>
    </w:p>
    <w:p w:rsidR="006B4DC8" w:rsidRPr="00C875A1" w:rsidRDefault="006B4DC8" w:rsidP="006B4DC8">
      <w:pPr>
        <w:tabs>
          <w:tab w:val="left" w:pos="360"/>
        </w:tabs>
        <w:rPr>
          <w:b/>
          <w:bCs/>
          <w:sz w:val="20"/>
          <w:szCs w:val="20"/>
        </w:rPr>
      </w:pPr>
      <w:r w:rsidRPr="00C875A1">
        <w:rPr>
          <w:b/>
          <w:bCs/>
          <w:sz w:val="20"/>
          <w:szCs w:val="20"/>
        </w:rPr>
        <w:t>CONCLUSION</w:t>
      </w:r>
    </w:p>
    <w:p w:rsidR="006B4DC8" w:rsidRDefault="006B4DC8" w:rsidP="006B4DC8">
      <w:pPr>
        <w:jc w:val="both"/>
        <w:rPr>
          <w:sz w:val="20"/>
          <w:szCs w:val="20"/>
          <w:lang w:val="en-US"/>
        </w:rPr>
      </w:pPr>
      <w:r w:rsidRPr="00B57975">
        <w:rPr>
          <w:sz w:val="20"/>
          <w:szCs w:val="20"/>
        </w:rPr>
        <w:t xml:space="preserve"> PEO can successfully used in controlled release drug delivery to modulate the drug release.</w:t>
      </w:r>
      <w:r w:rsidRPr="00B57975">
        <w:rPr>
          <w:b/>
          <w:bCs/>
          <w:sz w:val="20"/>
          <w:szCs w:val="20"/>
        </w:rPr>
        <w:t xml:space="preserve"> </w:t>
      </w:r>
      <w:r w:rsidRPr="00B57975">
        <w:rPr>
          <w:sz w:val="20"/>
          <w:szCs w:val="20"/>
        </w:rPr>
        <w:t>The presence of Vit E is necessary to stabilize the drug release from matrices containing PEO. Mannitol or DCP can also stabilize the drug release form PEO matrices in absence of Vit E.</w:t>
      </w:r>
    </w:p>
    <w:p w:rsidR="006B4DC8" w:rsidRPr="00DD294F" w:rsidRDefault="006B4DC8" w:rsidP="006B4DC8">
      <w:pPr>
        <w:jc w:val="both"/>
        <w:rPr>
          <w:sz w:val="20"/>
          <w:szCs w:val="20"/>
          <w:lang w:val="en-US"/>
        </w:rPr>
      </w:pPr>
    </w:p>
    <w:p w:rsidR="006B4DC8" w:rsidRPr="00C875A1" w:rsidRDefault="006B4DC8" w:rsidP="006B4DC8">
      <w:pPr>
        <w:tabs>
          <w:tab w:val="left" w:pos="360"/>
        </w:tabs>
        <w:jc w:val="both"/>
        <w:rPr>
          <w:b/>
          <w:bCs/>
          <w:sz w:val="20"/>
          <w:szCs w:val="20"/>
        </w:rPr>
      </w:pPr>
      <w:r w:rsidRPr="00C875A1">
        <w:rPr>
          <w:b/>
          <w:bCs/>
          <w:sz w:val="20"/>
          <w:szCs w:val="20"/>
        </w:rPr>
        <w:t>REFERENCES</w:t>
      </w:r>
    </w:p>
    <w:p w:rsidR="006B4DC8" w:rsidRPr="00DD294F" w:rsidRDefault="006B4DC8" w:rsidP="006B4DC8">
      <w:pPr>
        <w:jc w:val="both"/>
        <w:rPr>
          <w:color w:val="auto"/>
          <w:sz w:val="20"/>
          <w:szCs w:val="20"/>
          <w:lang w:val="en-US"/>
        </w:rPr>
      </w:pPr>
      <w:r>
        <w:rPr>
          <w:color w:val="auto"/>
          <w:sz w:val="20"/>
          <w:szCs w:val="20"/>
        </w:rPr>
        <w:t>1-</w:t>
      </w:r>
      <w:r w:rsidRPr="00DD294F">
        <w:rPr>
          <w:color w:val="auto"/>
          <w:sz w:val="20"/>
          <w:szCs w:val="20"/>
        </w:rPr>
        <w:t>M. Levina, A. Rajabi-Siahboomi, Pharm. Tech. Eur. 2006, 18, 7, 20-26</w:t>
      </w:r>
    </w:p>
    <w:p w:rsidR="006B4DC8" w:rsidRDefault="006B4DC8" w:rsidP="006B4DC8">
      <w:pPr>
        <w:tabs>
          <w:tab w:val="left" w:pos="360"/>
        </w:tabs>
        <w:rPr>
          <w:b/>
          <w:bCs/>
          <w:sz w:val="20"/>
          <w:szCs w:val="20"/>
          <w:rtl/>
        </w:rPr>
      </w:pPr>
      <w:r w:rsidRPr="00C875A1">
        <w:rPr>
          <w:b/>
          <w:bCs/>
          <w:sz w:val="20"/>
          <w:szCs w:val="20"/>
        </w:rPr>
        <w:t>ACKNOWLEDGMENTS</w:t>
      </w:r>
      <w:bookmarkEnd w:id="0"/>
    </w:p>
    <w:p w:rsidR="006B4DC8" w:rsidRPr="00801DB9" w:rsidRDefault="006B4DC8" w:rsidP="006B4DC8">
      <w:pPr>
        <w:tabs>
          <w:tab w:val="left" w:pos="360"/>
        </w:tabs>
        <w:rPr>
          <w:sz w:val="20"/>
          <w:szCs w:val="20"/>
          <w:lang w:val="en-US"/>
        </w:rPr>
      </w:pPr>
      <w:r w:rsidRPr="00801DB9">
        <w:rPr>
          <w:sz w:val="20"/>
          <w:szCs w:val="20"/>
          <w:lang w:val="en-US"/>
        </w:rPr>
        <w:t>W</w:t>
      </w:r>
      <w:r>
        <w:rPr>
          <w:sz w:val="20"/>
          <w:szCs w:val="20"/>
          <w:lang w:val="en-US"/>
        </w:rPr>
        <w:t>e would like to thanks from Colorcon Company.</w:t>
      </w:r>
    </w:p>
    <w:sectPr w:rsidR="006B4DC8" w:rsidRPr="00801DB9" w:rsidSect="003A24CE">
      <w:headerReference w:type="even" r:id="rId12"/>
      <w:headerReference w:type="default" r:id="rId13"/>
      <w:footerReference w:type="default" r:id="rId14"/>
      <w:type w:val="continuous"/>
      <w:pgSz w:w="11907" w:h="16839" w:code="9"/>
      <w:pgMar w:top="1077" w:right="1077" w:bottom="1077" w:left="1077" w:header="709" w:footer="44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97B" w:rsidRDefault="0031397B" w:rsidP="006B4DC8">
      <w:r>
        <w:separator/>
      </w:r>
    </w:p>
  </w:endnote>
  <w:endnote w:type="continuationSeparator" w:id="1">
    <w:p w:rsidR="0031397B" w:rsidRDefault="0031397B" w:rsidP="006B4D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8F" w:rsidRPr="005B6A44" w:rsidRDefault="00972064" w:rsidP="005B6A44">
    <w:pPr>
      <w:jc w:val="center"/>
      <w:rPr>
        <w:sz w:val="22"/>
        <w:szCs w:val="22"/>
      </w:rPr>
    </w:pPr>
    <w:r w:rsidRPr="00C52C4D">
      <w:rPr>
        <w:rFonts w:ascii="Calibri" w:hAnsi="Calibri" w:cs="Arial"/>
        <w:b/>
        <w:color w:val="31849B"/>
        <w:sz w:val="22"/>
        <w:szCs w:val="22"/>
      </w:rPr>
      <w:t>BOOK OF ABSTRACTS | ISBPPB 2018</w:t>
    </w:r>
  </w:p>
  <w:p w:rsidR="0008608F" w:rsidRPr="00FA7C40" w:rsidRDefault="00972064" w:rsidP="005B6A44">
    <w:pPr>
      <w:jc w:val="center"/>
      <w:rPr>
        <w:rFonts w:ascii="Calibri" w:hAnsi="Calibri" w:cs="Arial"/>
        <w:b/>
        <w:color w:val="808080"/>
        <w:sz w:val="20"/>
        <w:szCs w:val="20"/>
      </w:rPr>
    </w:pPr>
    <w:r w:rsidRPr="00FA7C40">
      <w:rPr>
        <w:rFonts w:ascii="Calibri" w:hAnsi="Calibri" w:cs="Arial"/>
        <w:b/>
        <w:bCs/>
        <w:color w:val="808080"/>
        <w:sz w:val="20"/>
        <w:szCs w:val="20"/>
      </w:rPr>
      <w:t>4</w:t>
    </w:r>
    <w:r w:rsidRPr="00BB447E">
      <w:rPr>
        <w:rFonts w:ascii="Calibri" w:hAnsi="Calibri" w:cs="Arial"/>
        <w:b/>
        <w:bCs/>
        <w:color w:val="808080"/>
        <w:sz w:val="20"/>
        <w:szCs w:val="20"/>
        <w:vertAlign w:val="superscript"/>
      </w:rPr>
      <w:t>th</w:t>
    </w:r>
    <w:r w:rsidRPr="00FA7C40">
      <w:rPr>
        <w:rFonts w:ascii="Calibri" w:hAnsi="Calibri" w:cs="Arial"/>
        <w:b/>
        <w:bCs/>
        <w:color w:val="808080"/>
        <w:sz w:val="20"/>
        <w:szCs w:val="20"/>
      </w:rPr>
      <w:t xml:space="preserve"> International Conference on Biomedical Polymers &amp; Polymeric Biomaterials</w:t>
    </w:r>
    <w:r w:rsidRPr="00FA7C40">
      <w:rPr>
        <w:rFonts w:ascii="Calibri" w:hAnsi="Calibri" w:cs="Arial"/>
        <w:b/>
        <w:color w:val="808080"/>
        <w:sz w:val="20"/>
        <w:szCs w:val="20"/>
      </w:rPr>
      <w:t xml:space="preserve"> | </w:t>
    </w:r>
    <w:r w:rsidRPr="00FA7C40">
      <w:rPr>
        <w:rFonts w:ascii="Calibri" w:hAnsi="Calibri" w:cs="Arial"/>
        <w:b/>
        <w:bCs/>
        <w:color w:val="808080"/>
        <w:sz w:val="20"/>
        <w:szCs w:val="20"/>
      </w:rPr>
      <w:t xml:space="preserve">15-18 July 2018, Kraków, POLAND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97B" w:rsidRDefault="0031397B" w:rsidP="006B4DC8">
      <w:r>
        <w:separator/>
      </w:r>
    </w:p>
  </w:footnote>
  <w:footnote w:type="continuationSeparator" w:id="1">
    <w:p w:rsidR="0031397B" w:rsidRDefault="0031397B" w:rsidP="006B4D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1397B">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8F" w:rsidRDefault="0031397B"/>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8F" w:rsidRPr="00C52C4D" w:rsidRDefault="006C7FF1">
    <w:pPr>
      <w:pStyle w:val="Header"/>
      <w:rPr>
        <w:lang w:val="pl-PL"/>
      </w:rPr>
    </w:pPr>
    <w:r>
      <w:rPr>
        <w:noProof/>
      </w:rPr>
      <w:pict>
        <v:shapetype id="_x0000_t202" coordsize="21600,21600" o:spt="202" path="m,l,21600r21600,l21600,xe">
          <v:stroke joinstyle="miter"/>
          <v:path gradientshapeok="t" o:connecttype="rect"/>
        </v:shapetype>
        <v:shape id="_x0000_s2051" type="#_x0000_t202" style="position:absolute;margin-left:0;margin-top:21.65pt;width:49.9pt;height:14.2pt;z-index:251661312;mso-position-horizontal-relative:page;mso-position-vertical-relative:page;mso-width-relative:left-margin-area;v-text-anchor:middle" o:allowincell="f" fillcolor="#a5a5a5" stroked="f">
          <v:textbox style="mso-next-textbox:#_x0000_s2051" inset=",0,,0">
            <w:txbxContent>
              <w:p w:rsidR="0008608F" w:rsidRPr="00566737" w:rsidRDefault="006C7FF1" w:rsidP="00FA7C40">
                <w:pPr>
                  <w:jc w:val="right"/>
                  <w:rPr>
                    <w:rFonts w:ascii="Calibri" w:hAnsi="Calibri"/>
                    <w:b/>
                    <w:bCs/>
                    <w:color w:val="FFFFFF"/>
                    <w:sz w:val="22"/>
                    <w:szCs w:val="22"/>
                    <w:lang w:val="pl-PL"/>
                  </w:rPr>
                </w:pPr>
                <w:r w:rsidRPr="00C52C4D">
                  <w:rPr>
                    <w:rFonts w:ascii="Calibri" w:hAnsi="Calibri"/>
                    <w:b/>
                    <w:bCs/>
                    <w:sz w:val="22"/>
                    <w:szCs w:val="22"/>
                    <w:lang w:val="pl-PL"/>
                  </w:rPr>
                  <w:fldChar w:fldCharType="begin"/>
                </w:r>
                <w:r w:rsidR="00972064" w:rsidRPr="00C52C4D">
                  <w:rPr>
                    <w:rFonts w:ascii="Calibri" w:hAnsi="Calibri"/>
                    <w:b/>
                    <w:bCs/>
                    <w:sz w:val="22"/>
                    <w:szCs w:val="22"/>
                    <w:lang w:val="pl-PL"/>
                  </w:rPr>
                  <w:instrText xml:space="preserve"> PAGE   \* MERGEFORMAT </w:instrText>
                </w:r>
                <w:r w:rsidRPr="00C52C4D">
                  <w:rPr>
                    <w:rFonts w:ascii="Calibri" w:hAnsi="Calibri"/>
                    <w:b/>
                    <w:bCs/>
                    <w:sz w:val="22"/>
                    <w:szCs w:val="22"/>
                    <w:lang w:val="pl-PL"/>
                  </w:rPr>
                  <w:fldChar w:fldCharType="separate"/>
                </w:r>
                <w:r w:rsidR="006B4DC8" w:rsidRPr="006B4DC8">
                  <w:rPr>
                    <w:rFonts w:ascii="Calibri" w:hAnsi="Calibri"/>
                    <w:b/>
                    <w:bCs/>
                    <w:noProof/>
                    <w:color w:val="FFFFFF"/>
                    <w:sz w:val="22"/>
                    <w:szCs w:val="22"/>
                  </w:rPr>
                  <w:t>1</w:t>
                </w:r>
                <w:r w:rsidRPr="00C52C4D">
                  <w:rPr>
                    <w:rFonts w:ascii="Calibri" w:hAnsi="Calibri"/>
                    <w:b/>
                    <w:bCs/>
                    <w:sz w:val="22"/>
                    <w:szCs w:val="22"/>
                    <w:lang w:val="pl-PL"/>
                  </w:rPr>
                  <w:fldChar w:fldCharType="end"/>
                </w:r>
              </w:p>
            </w:txbxContent>
          </v:textbox>
          <w10:wrap anchorx="page" anchory="margin"/>
        </v:shape>
      </w:pict>
    </w:r>
    <w:r>
      <w:rPr>
        <w:noProof/>
      </w:rPr>
      <w:pict>
        <v:shape id="_x0000_s2052" type="#_x0000_t202" style="position:absolute;margin-left:54pt;margin-top:21.5pt;width:59.35pt;height:14.2pt;z-index:251662336;mso-position-horizontal-relative:page;mso-position-vertical-relative:page;mso-width-relative:margin;v-text-anchor:middle" o:allowincell="f" filled="f" stroked="f">
          <v:textbox style="mso-next-textbox:#_x0000_s2052" inset=",0,,0">
            <w:txbxContent>
              <w:p w:rsidR="0008608F" w:rsidRPr="006B4DC8" w:rsidRDefault="0031397B" w:rsidP="005B6A44">
                <w:pPr>
                  <w:rPr>
                    <w:lang w:val="en-US"/>
                  </w:rPr>
                </w:pPr>
              </w:p>
            </w:txbxContent>
          </v:textbox>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6B4DC8"/>
    <w:rsid w:val="0031397B"/>
    <w:rsid w:val="004117ED"/>
    <w:rsid w:val="004F242B"/>
    <w:rsid w:val="006748DE"/>
    <w:rsid w:val="006B4DC8"/>
    <w:rsid w:val="006C7FF1"/>
    <w:rsid w:val="00972064"/>
    <w:rsid w:val="009E5C15"/>
    <w:rsid w:val="00AB10BA"/>
    <w:rsid w:val="00B85F1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DC8"/>
    <w:pPr>
      <w:spacing w:after="0" w:line="240" w:lineRule="auto"/>
    </w:pPr>
    <w:rPr>
      <w:rFonts w:ascii="Times New Roman" w:eastAsia="Times New Roman" w:hAnsi="Times New Roman" w:cs="Times New Roman"/>
      <w:color w:val="000000"/>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DC8"/>
    <w:pPr>
      <w:tabs>
        <w:tab w:val="center" w:pos="4680"/>
        <w:tab w:val="right" w:pos="9360"/>
      </w:tabs>
    </w:pPr>
    <w:rPr>
      <w:rFonts w:asciiTheme="minorHAnsi" w:eastAsiaTheme="minorHAnsi" w:hAnsiTheme="minorHAnsi" w:cstheme="minorBidi"/>
      <w:color w:val="auto"/>
      <w:sz w:val="22"/>
      <w:szCs w:val="22"/>
      <w:lang w:val="en-US" w:eastAsia="en-US"/>
    </w:rPr>
  </w:style>
  <w:style w:type="character" w:customStyle="1" w:styleId="HeaderChar">
    <w:name w:val="Header Char"/>
    <w:basedOn w:val="DefaultParagraphFont"/>
    <w:link w:val="Header"/>
    <w:uiPriority w:val="99"/>
    <w:rsid w:val="006B4DC8"/>
  </w:style>
  <w:style w:type="paragraph" w:styleId="Footer">
    <w:name w:val="footer"/>
    <w:basedOn w:val="Normal"/>
    <w:link w:val="FooterChar"/>
    <w:uiPriority w:val="99"/>
    <w:semiHidden/>
    <w:unhideWhenUsed/>
    <w:rsid w:val="006B4DC8"/>
    <w:pPr>
      <w:tabs>
        <w:tab w:val="center" w:pos="4680"/>
        <w:tab w:val="right" w:pos="9360"/>
      </w:tabs>
    </w:pPr>
  </w:style>
  <w:style w:type="character" w:customStyle="1" w:styleId="FooterChar">
    <w:name w:val="Footer Char"/>
    <w:basedOn w:val="DefaultParagraphFont"/>
    <w:link w:val="Footer"/>
    <w:uiPriority w:val="99"/>
    <w:semiHidden/>
    <w:rsid w:val="006B4DC8"/>
  </w:style>
  <w:style w:type="paragraph" w:styleId="BalloonText">
    <w:name w:val="Balloon Text"/>
    <w:basedOn w:val="Normal"/>
    <w:link w:val="BalloonTextChar"/>
    <w:uiPriority w:val="99"/>
    <w:semiHidden/>
    <w:unhideWhenUsed/>
    <w:rsid w:val="006B4DC8"/>
    <w:rPr>
      <w:rFonts w:ascii="Tahoma" w:hAnsi="Tahoma" w:cs="Tahoma"/>
      <w:sz w:val="16"/>
      <w:szCs w:val="16"/>
    </w:rPr>
  </w:style>
  <w:style w:type="character" w:customStyle="1" w:styleId="BalloonTextChar">
    <w:name w:val="Balloon Text Char"/>
    <w:basedOn w:val="DefaultParagraphFont"/>
    <w:link w:val="BalloonText"/>
    <w:uiPriority w:val="99"/>
    <w:semiHidden/>
    <w:rsid w:val="006B4D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595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576</Words>
  <Characters>3285</Characters>
  <Application>Microsoft Office Word</Application>
  <DocSecurity>0</DocSecurity>
  <Lines>27</Lines>
  <Paragraphs>7</Paragraphs>
  <ScaleCrop>false</ScaleCrop>
  <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dr.shojaei</dc:creator>
  <cp:lastModifiedBy>dr.shojaei</cp:lastModifiedBy>
  <cp:revision>2</cp:revision>
  <dcterms:created xsi:type="dcterms:W3CDTF">2018-03-07T07:52:00Z</dcterms:created>
  <dcterms:modified xsi:type="dcterms:W3CDTF">2018-03-07T07:52:00Z</dcterms:modified>
</cp:coreProperties>
</file>