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4AFE1" w14:textId="1D55E771" w:rsid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54003D" wp14:editId="6DCB311A">
            <wp:simplePos x="0" y="0"/>
            <wp:positionH relativeFrom="column">
              <wp:posOffset>4552612</wp:posOffset>
            </wp:positionH>
            <wp:positionV relativeFrom="paragraph">
              <wp:posOffset>9741</wp:posOffset>
            </wp:positionV>
            <wp:extent cx="1161415" cy="1427480"/>
            <wp:effectExtent l="0" t="0" r="635" b="1270"/>
            <wp:wrapNone/>
            <wp:docPr id="1" name="Picture 1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F168A" w14:textId="3811C8EC" w:rsid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</w:p>
    <w:p w14:paraId="7B496F8A" w14:textId="0CB5831B" w:rsid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</w:p>
    <w:p w14:paraId="4A0D1A44" w14:textId="5A74F9FF" w:rsid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</w:p>
    <w:p w14:paraId="14B9CF32" w14:textId="77777777" w:rsid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</w:p>
    <w:p w14:paraId="39100B2D" w14:textId="77777777" w:rsid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</w:p>
    <w:p w14:paraId="4AF085E6" w14:textId="2727B323" w:rsidR="00F84BAD" w:rsidRPr="000A1C52" w:rsidRDefault="007C7097" w:rsidP="000A1C5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A1C52">
        <w:rPr>
          <w:rFonts w:ascii="Arial" w:hAnsi="Arial" w:cs="Arial"/>
          <w:b/>
          <w:bCs/>
          <w:sz w:val="24"/>
          <w:szCs w:val="24"/>
        </w:rPr>
        <w:t>Title: A case series of thyroid hormone resistance</w:t>
      </w:r>
    </w:p>
    <w:p w14:paraId="11EAD072" w14:textId="77777777" w:rsidR="007C7097" w:rsidRPr="000A1C52" w:rsidRDefault="007C7097" w:rsidP="000A1C5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277486C" w14:textId="179C9F5C" w:rsidR="00F84BAD" w:rsidRPr="000A1C52" w:rsidRDefault="00F84BAD" w:rsidP="000A1C5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A1C52">
        <w:rPr>
          <w:rFonts w:ascii="Arial" w:hAnsi="Arial" w:cs="Arial"/>
          <w:b/>
          <w:bCs/>
          <w:sz w:val="24"/>
          <w:szCs w:val="24"/>
        </w:rPr>
        <w:t>Hoi Lun Shing</w:t>
      </w:r>
      <w:r w:rsidR="000A1C52">
        <w:rPr>
          <w:rFonts w:ascii="Arial" w:hAnsi="Arial" w:cs="Arial"/>
          <w:b/>
          <w:bCs/>
          <w:sz w:val="24"/>
          <w:szCs w:val="24"/>
        </w:rPr>
        <w:t>, Saadia Kamran Rao</w:t>
      </w:r>
    </w:p>
    <w:p w14:paraId="6304E00A" w14:textId="55A4CB43" w:rsidR="00C543FD" w:rsidRPr="000A1C52" w:rsidRDefault="00C543FD" w:rsidP="000A1C52">
      <w:pPr>
        <w:jc w:val="center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0A1C52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Colchester General Hospital, </w:t>
      </w:r>
      <w:r w:rsidRPr="000A1C52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Turner Rd, Mile End, Colchester CO4</w:t>
      </w:r>
      <w:r w:rsidRPr="000A1C52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5JL, United Kingdom</w:t>
      </w:r>
      <w:bookmarkStart w:id="0" w:name="_GoBack"/>
      <w:bookmarkEnd w:id="0"/>
    </w:p>
    <w:p w14:paraId="2E16BFA7" w14:textId="77777777" w:rsidR="007C7097" w:rsidRPr="007C7097" w:rsidRDefault="007C7097" w:rsidP="007C7097">
      <w:pPr>
        <w:jc w:val="both"/>
        <w:rPr>
          <w:rFonts w:ascii="Arial" w:hAnsi="Arial" w:cs="Arial"/>
          <w:sz w:val="24"/>
          <w:szCs w:val="24"/>
        </w:rPr>
      </w:pPr>
    </w:p>
    <w:p w14:paraId="0F808E33" w14:textId="0D1112A4" w:rsidR="00BE1C1E" w:rsidRPr="007C7097" w:rsidRDefault="00123067" w:rsidP="007C7097">
      <w:pPr>
        <w:jc w:val="both"/>
        <w:rPr>
          <w:rFonts w:ascii="Arial" w:hAnsi="Arial" w:cs="Arial"/>
          <w:sz w:val="24"/>
          <w:szCs w:val="24"/>
        </w:rPr>
      </w:pPr>
      <w:r w:rsidRPr="007C7097">
        <w:rPr>
          <w:rFonts w:ascii="Arial" w:hAnsi="Arial" w:cs="Arial"/>
          <w:sz w:val="24"/>
          <w:szCs w:val="24"/>
        </w:rPr>
        <w:t>T</w:t>
      </w:r>
      <w:r w:rsidR="00BE1C1E" w:rsidRPr="007C7097">
        <w:rPr>
          <w:rFonts w:ascii="Arial" w:hAnsi="Arial" w:cs="Arial"/>
          <w:sz w:val="24"/>
          <w:szCs w:val="24"/>
        </w:rPr>
        <w:t xml:space="preserve">hyroid hormone resistance is </w:t>
      </w:r>
      <w:r w:rsidRPr="007C7097">
        <w:rPr>
          <w:rFonts w:ascii="Arial" w:hAnsi="Arial" w:cs="Arial"/>
          <w:sz w:val="24"/>
          <w:szCs w:val="24"/>
        </w:rPr>
        <w:t xml:space="preserve">a rare condition </w:t>
      </w:r>
      <w:r w:rsidR="00BE1C1E" w:rsidRPr="007C7097">
        <w:rPr>
          <w:rFonts w:ascii="Arial" w:hAnsi="Arial" w:cs="Arial"/>
          <w:sz w:val="24"/>
          <w:szCs w:val="24"/>
        </w:rPr>
        <w:t>whe</w:t>
      </w:r>
      <w:r w:rsidR="00F0031C" w:rsidRPr="007C7097">
        <w:rPr>
          <w:rFonts w:ascii="Arial" w:hAnsi="Arial" w:cs="Arial"/>
          <w:sz w:val="24"/>
          <w:szCs w:val="24"/>
        </w:rPr>
        <w:t>re</w:t>
      </w:r>
      <w:r w:rsidR="00BE1C1E" w:rsidRPr="007C7097">
        <w:rPr>
          <w:rFonts w:ascii="Arial" w:hAnsi="Arial" w:cs="Arial"/>
          <w:sz w:val="24"/>
          <w:szCs w:val="24"/>
        </w:rPr>
        <w:t xml:space="preserve"> there is an impaired sensitivity </w:t>
      </w:r>
      <w:r w:rsidR="00280D4F" w:rsidRPr="007C7097">
        <w:rPr>
          <w:rFonts w:ascii="Arial" w:hAnsi="Arial" w:cs="Arial"/>
          <w:sz w:val="24"/>
          <w:szCs w:val="24"/>
        </w:rPr>
        <w:t xml:space="preserve">of target tissues </w:t>
      </w:r>
      <w:r w:rsidR="00BE1C1E" w:rsidRPr="007C7097">
        <w:rPr>
          <w:rFonts w:ascii="Arial" w:hAnsi="Arial" w:cs="Arial"/>
          <w:sz w:val="24"/>
          <w:szCs w:val="24"/>
        </w:rPr>
        <w:t>to thyroid hormone</w:t>
      </w:r>
      <w:r w:rsidR="00F0031C" w:rsidRPr="007C7097">
        <w:rPr>
          <w:rFonts w:ascii="Arial" w:hAnsi="Arial" w:cs="Arial"/>
          <w:sz w:val="24"/>
          <w:szCs w:val="24"/>
        </w:rPr>
        <w:t>. This leads</w:t>
      </w:r>
      <w:r w:rsidRPr="007C7097">
        <w:rPr>
          <w:rFonts w:ascii="Arial" w:hAnsi="Arial" w:cs="Arial"/>
          <w:sz w:val="24"/>
          <w:szCs w:val="24"/>
        </w:rPr>
        <w:t xml:space="preserve"> to a situation where </w:t>
      </w:r>
      <w:r w:rsidR="00F0031C" w:rsidRPr="007C7097">
        <w:rPr>
          <w:rFonts w:ascii="Arial" w:hAnsi="Arial" w:cs="Arial"/>
          <w:sz w:val="24"/>
          <w:szCs w:val="24"/>
        </w:rPr>
        <w:t>both the</w:t>
      </w:r>
      <w:r w:rsidRPr="007C7097">
        <w:rPr>
          <w:rFonts w:ascii="Arial" w:hAnsi="Arial" w:cs="Arial"/>
          <w:sz w:val="24"/>
          <w:szCs w:val="24"/>
        </w:rPr>
        <w:t xml:space="preserve"> thyroid hormone levels</w:t>
      </w:r>
      <w:r w:rsidR="00F0031C" w:rsidRPr="007C7097">
        <w:rPr>
          <w:rFonts w:ascii="Arial" w:hAnsi="Arial" w:cs="Arial"/>
          <w:sz w:val="24"/>
          <w:szCs w:val="24"/>
        </w:rPr>
        <w:t xml:space="preserve"> and the</w:t>
      </w:r>
      <w:r w:rsidR="00BE1C1E" w:rsidRPr="007C7097">
        <w:rPr>
          <w:rFonts w:ascii="Arial" w:hAnsi="Arial" w:cs="Arial"/>
          <w:sz w:val="24"/>
          <w:szCs w:val="24"/>
        </w:rPr>
        <w:t xml:space="preserve"> thyroid stimulating hormone (TSH)</w:t>
      </w:r>
      <w:r w:rsidR="00F0031C" w:rsidRPr="007C7097">
        <w:rPr>
          <w:rFonts w:ascii="Arial" w:hAnsi="Arial" w:cs="Arial"/>
          <w:sz w:val="24"/>
          <w:szCs w:val="24"/>
        </w:rPr>
        <w:t xml:space="preserve"> are raised, as TSH is not suppressed</w:t>
      </w:r>
      <w:r w:rsidR="00280D4F" w:rsidRPr="007C7097">
        <w:rPr>
          <w:rFonts w:ascii="Arial" w:hAnsi="Arial" w:cs="Arial"/>
          <w:sz w:val="24"/>
          <w:szCs w:val="24"/>
        </w:rPr>
        <w:t xml:space="preserve"> as would </w:t>
      </w:r>
      <w:r w:rsidR="000C1EF2" w:rsidRPr="007C7097">
        <w:rPr>
          <w:rFonts w:ascii="Arial" w:hAnsi="Arial" w:cs="Arial"/>
          <w:sz w:val="24"/>
          <w:szCs w:val="24"/>
        </w:rPr>
        <w:t xml:space="preserve">normally </w:t>
      </w:r>
      <w:r w:rsidR="00280D4F" w:rsidRPr="007C7097">
        <w:rPr>
          <w:rFonts w:ascii="Arial" w:hAnsi="Arial" w:cs="Arial"/>
          <w:sz w:val="24"/>
          <w:szCs w:val="24"/>
        </w:rPr>
        <w:t xml:space="preserve">be expected. </w:t>
      </w:r>
      <w:r w:rsidR="000C1EF2" w:rsidRPr="007C7097">
        <w:rPr>
          <w:rFonts w:ascii="Arial" w:hAnsi="Arial" w:cs="Arial"/>
          <w:sz w:val="24"/>
          <w:szCs w:val="24"/>
        </w:rPr>
        <w:t xml:space="preserve">Incidence of this condition is around 1 in 40,000 live births. </w:t>
      </w:r>
      <w:r w:rsidR="000C1EF2" w:rsidRPr="007C7097">
        <w:rPr>
          <w:rFonts w:ascii="Arial" w:hAnsi="Arial" w:cs="Arial"/>
          <w:sz w:val="24"/>
          <w:szCs w:val="24"/>
        </w:rPr>
        <w:t>TR-beta gene mutation is the most common cause of thyroid hormone resistance</w:t>
      </w:r>
      <w:r w:rsidR="000C1EF2" w:rsidRPr="007C7097">
        <w:rPr>
          <w:rFonts w:ascii="Arial" w:hAnsi="Arial" w:cs="Arial"/>
          <w:sz w:val="24"/>
          <w:szCs w:val="24"/>
        </w:rPr>
        <w:t xml:space="preserve">. </w:t>
      </w:r>
      <w:r w:rsidR="00280D4F" w:rsidRPr="007C7097">
        <w:rPr>
          <w:rFonts w:ascii="Arial" w:hAnsi="Arial" w:cs="Arial"/>
          <w:sz w:val="24"/>
          <w:szCs w:val="24"/>
        </w:rPr>
        <w:t xml:space="preserve">Clinical manifestations are dependent on </w:t>
      </w:r>
      <w:r w:rsidR="000C1EF2" w:rsidRPr="007C7097">
        <w:rPr>
          <w:rFonts w:ascii="Arial" w:hAnsi="Arial" w:cs="Arial"/>
          <w:sz w:val="24"/>
          <w:szCs w:val="24"/>
        </w:rPr>
        <w:t>the type of mutant thyroid hormone receptor</w:t>
      </w:r>
      <w:r w:rsidR="000C1EF2" w:rsidRPr="007C7097">
        <w:rPr>
          <w:rFonts w:ascii="Arial" w:hAnsi="Arial" w:cs="Arial"/>
          <w:sz w:val="24"/>
          <w:szCs w:val="24"/>
        </w:rPr>
        <w:t xml:space="preserve"> and each target tissue’s </w:t>
      </w:r>
      <w:r w:rsidR="00280D4F" w:rsidRPr="007C7097">
        <w:rPr>
          <w:rFonts w:ascii="Arial" w:hAnsi="Arial" w:cs="Arial"/>
          <w:sz w:val="24"/>
          <w:szCs w:val="24"/>
        </w:rPr>
        <w:t>predominant thyroid hormone receptor</w:t>
      </w:r>
      <w:r w:rsidR="000C1EF2" w:rsidRPr="007C7097">
        <w:rPr>
          <w:rFonts w:ascii="Arial" w:hAnsi="Arial" w:cs="Arial"/>
          <w:sz w:val="24"/>
          <w:szCs w:val="24"/>
        </w:rPr>
        <w:t xml:space="preserve"> expression</w:t>
      </w:r>
      <w:r w:rsidR="00280D4F" w:rsidRPr="007C7097">
        <w:rPr>
          <w:rFonts w:ascii="Arial" w:hAnsi="Arial" w:cs="Arial"/>
          <w:sz w:val="24"/>
          <w:szCs w:val="24"/>
        </w:rPr>
        <w:t>. Affected patients can present with a range of hyperthyroid or hypothyroid signs and symptoms.</w:t>
      </w:r>
      <w:r w:rsidR="00F0031C" w:rsidRPr="007C7097">
        <w:rPr>
          <w:rFonts w:ascii="Arial" w:hAnsi="Arial" w:cs="Arial"/>
          <w:sz w:val="24"/>
          <w:szCs w:val="24"/>
        </w:rPr>
        <w:t xml:space="preserve"> </w:t>
      </w:r>
      <w:r w:rsidR="00280D4F" w:rsidRPr="007C7097">
        <w:rPr>
          <w:rFonts w:ascii="Arial" w:hAnsi="Arial" w:cs="Arial"/>
          <w:sz w:val="24"/>
          <w:szCs w:val="24"/>
        </w:rPr>
        <w:t xml:space="preserve">Majority of the cases described so far </w:t>
      </w:r>
      <w:r w:rsidR="000C1EF2" w:rsidRPr="007C7097">
        <w:rPr>
          <w:rFonts w:ascii="Arial" w:hAnsi="Arial" w:cs="Arial"/>
          <w:sz w:val="24"/>
          <w:szCs w:val="24"/>
        </w:rPr>
        <w:t xml:space="preserve">have an autosomal dominant inheritance. </w:t>
      </w:r>
      <w:r w:rsidR="00F0031C" w:rsidRPr="007C7097">
        <w:rPr>
          <w:rFonts w:ascii="Arial" w:hAnsi="Arial" w:cs="Arial"/>
          <w:sz w:val="24"/>
          <w:szCs w:val="24"/>
        </w:rPr>
        <w:t>In</w:t>
      </w:r>
      <w:r w:rsidRPr="007C7097">
        <w:rPr>
          <w:rFonts w:ascii="Arial" w:hAnsi="Arial" w:cs="Arial"/>
          <w:sz w:val="24"/>
          <w:szCs w:val="24"/>
        </w:rPr>
        <w:t xml:space="preserve"> </w:t>
      </w:r>
      <w:r w:rsidR="00BE1C1E" w:rsidRPr="007C7097">
        <w:rPr>
          <w:rFonts w:ascii="Arial" w:hAnsi="Arial" w:cs="Arial"/>
          <w:sz w:val="24"/>
          <w:szCs w:val="24"/>
        </w:rPr>
        <w:t xml:space="preserve">this case </w:t>
      </w:r>
      <w:r w:rsidR="009D0695" w:rsidRPr="007C7097">
        <w:rPr>
          <w:rFonts w:ascii="Arial" w:hAnsi="Arial" w:cs="Arial"/>
          <w:sz w:val="24"/>
          <w:szCs w:val="24"/>
        </w:rPr>
        <w:t>series</w:t>
      </w:r>
      <w:r w:rsidR="00BE1C1E" w:rsidRPr="007C7097">
        <w:rPr>
          <w:rFonts w:ascii="Arial" w:hAnsi="Arial" w:cs="Arial"/>
          <w:sz w:val="24"/>
          <w:szCs w:val="24"/>
        </w:rPr>
        <w:t xml:space="preserve">, we describe </w:t>
      </w:r>
      <w:r w:rsidR="00C90092" w:rsidRPr="007C7097">
        <w:rPr>
          <w:rFonts w:ascii="Arial" w:hAnsi="Arial" w:cs="Arial"/>
          <w:sz w:val="24"/>
          <w:szCs w:val="24"/>
        </w:rPr>
        <w:t>two young children and their father who have</w:t>
      </w:r>
      <w:r w:rsidR="00BE1C1E" w:rsidRPr="007C7097">
        <w:rPr>
          <w:rFonts w:ascii="Arial" w:hAnsi="Arial" w:cs="Arial"/>
          <w:sz w:val="24"/>
          <w:szCs w:val="24"/>
        </w:rPr>
        <w:t xml:space="preserve"> thyroid hormone resistance</w:t>
      </w:r>
      <w:r w:rsidR="00280D4F" w:rsidRPr="007C7097">
        <w:rPr>
          <w:rFonts w:ascii="Arial" w:hAnsi="Arial" w:cs="Arial"/>
          <w:sz w:val="24"/>
          <w:szCs w:val="24"/>
        </w:rPr>
        <w:t xml:space="preserve">. </w:t>
      </w:r>
      <w:r w:rsidR="000C1EF2" w:rsidRPr="007C7097">
        <w:rPr>
          <w:rFonts w:ascii="Arial" w:hAnsi="Arial" w:cs="Arial"/>
          <w:sz w:val="24"/>
          <w:szCs w:val="24"/>
        </w:rPr>
        <w:t xml:space="preserve">They all </w:t>
      </w:r>
      <w:r w:rsidR="0001365A" w:rsidRPr="007C7097">
        <w:rPr>
          <w:rFonts w:ascii="Arial" w:hAnsi="Arial" w:cs="Arial"/>
          <w:sz w:val="24"/>
          <w:szCs w:val="24"/>
        </w:rPr>
        <w:t>possess a</w:t>
      </w:r>
      <w:r w:rsidRPr="007C7097">
        <w:rPr>
          <w:rFonts w:ascii="Arial" w:hAnsi="Arial" w:cs="Arial"/>
          <w:sz w:val="24"/>
          <w:szCs w:val="24"/>
        </w:rPr>
        <w:t xml:space="preserve"> </w:t>
      </w:r>
      <w:r w:rsidR="00BE1C1E" w:rsidRPr="007C7097">
        <w:rPr>
          <w:rFonts w:ascii="Arial" w:hAnsi="Arial" w:cs="Arial"/>
          <w:sz w:val="24"/>
          <w:szCs w:val="24"/>
        </w:rPr>
        <w:t>TR beta- gene defect</w:t>
      </w:r>
      <w:r w:rsidRPr="007C7097">
        <w:rPr>
          <w:rFonts w:ascii="Arial" w:hAnsi="Arial" w:cs="Arial"/>
          <w:sz w:val="24"/>
          <w:szCs w:val="24"/>
        </w:rPr>
        <w:t xml:space="preserve"> secondary to a heterozygous mutation</w:t>
      </w:r>
      <w:r w:rsidR="00BE1C1E" w:rsidRPr="007C7097">
        <w:rPr>
          <w:rFonts w:ascii="Arial" w:hAnsi="Arial" w:cs="Arial"/>
          <w:sz w:val="24"/>
          <w:szCs w:val="24"/>
        </w:rPr>
        <w:t xml:space="preserve">. </w:t>
      </w:r>
      <w:r w:rsidRPr="007C7097">
        <w:rPr>
          <w:rFonts w:ascii="Arial" w:hAnsi="Arial" w:cs="Arial"/>
          <w:sz w:val="24"/>
          <w:szCs w:val="24"/>
        </w:rPr>
        <w:t>D</w:t>
      </w:r>
      <w:r w:rsidR="000C1EF2" w:rsidRPr="007C7097">
        <w:rPr>
          <w:rFonts w:ascii="Arial" w:hAnsi="Arial" w:cs="Arial"/>
          <w:sz w:val="24"/>
          <w:szCs w:val="24"/>
        </w:rPr>
        <w:t>ue to</w:t>
      </w:r>
      <w:r w:rsidR="009D0695" w:rsidRPr="007C7097">
        <w:rPr>
          <w:rFonts w:ascii="Arial" w:hAnsi="Arial" w:cs="Arial"/>
          <w:sz w:val="24"/>
          <w:szCs w:val="24"/>
        </w:rPr>
        <w:t xml:space="preserve"> the</w:t>
      </w:r>
      <w:r w:rsidR="000C1EF2" w:rsidRPr="007C7097">
        <w:rPr>
          <w:rFonts w:ascii="Arial" w:hAnsi="Arial" w:cs="Arial"/>
          <w:sz w:val="24"/>
          <w:szCs w:val="24"/>
        </w:rPr>
        <w:t xml:space="preserve"> </w:t>
      </w:r>
      <w:r w:rsidR="00C90092" w:rsidRPr="007C7097">
        <w:rPr>
          <w:rFonts w:ascii="Arial" w:hAnsi="Arial" w:cs="Arial"/>
          <w:sz w:val="24"/>
          <w:szCs w:val="24"/>
        </w:rPr>
        <w:t xml:space="preserve">widely variable signs and symptoms and </w:t>
      </w:r>
      <w:r w:rsidR="0001365A" w:rsidRPr="007C7097">
        <w:rPr>
          <w:rFonts w:ascii="Arial" w:hAnsi="Arial" w:cs="Arial"/>
          <w:sz w:val="24"/>
          <w:szCs w:val="24"/>
        </w:rPr>
        <w:t xml:space="preserve">the </w:t>
      </w:r>
      <w:r w:rsidR="00C90092" w:rsidRPr="007C7097">
        <w:rPr>
          <w:rFonts w:ascii="Arial" w:hAnsi="Arial" w:cs="Arial"/>
          <w:sz w:val="24"/>
          <w:szCs w:val="24"/>
        </w:rPr>
        <w:t>non-typical trend of laboratory markers</w:t>
      </w:r>
      <w:r w:rsidR="009D0695" w:rsidRPr="007C7097">
        <w:rPr>
          <w:rFonts w:ascii="Arial" w:hAnsi="Arial" w:cs="Arial"/>
          <w:sz w:val="24"/>
          <w:szCs w:val="24"/>
        </w:rPr>
        <w:t xml:space="preserve"> in</w:t>
      </w:r>
      <w:r w:rsidR="00C90092" w:rsidRPr="007C7097">
        <w:rPr>
          <w:rFonts w:ascii="Arial" w:hAnsi="Arial" w:cs="Arial"/>
          <w:sz w:val="24"/>
          <w:szCs w:val="24"/>
        </w:rPr>
        <w:t xml:space="preserve"> </w:t>
      </w:r>
      <w:r w:rsidRPr="007C7097">
        <w:rPr>
          <w:rFonts w:ascii="Arial" w:hAnsi="Arial" w:cs="Arial"/>
          <w:sz w:val="24"/>
          <w:szCs w:val="24"/>
        </w:rPr>
        <w:t>thyroid hormone resistance</w:t>
      </w:r>
      <w:r w:rsidR="009D0695" w:rsidRPr="007C7097">
        <w:rPr>
          <w:rFonts w:ascii="Arial" w:hAnsi="Arial" w:cs="Arial"/>
          <w:sz w:val="24"/>
          <w:szCs w:val="24"/>
        </w:rPr>
        <w:t>, it</w:t>
      </w:r>
      <w:r w:rsidRPr="007C7097">
        <w:rPr>
          <w:rFonts w:ascii="Arial" w:hAnsi="Arial" w:cs="Arial"/>
          <w:sz w:val="24"/>
          <w:szCs w:val="24"/>
        </w:rPr>
        <w:t xml:space="preserve"> </w:t>
      </w:r>
      <w:r w:rsidR="000C1EF2" w:rsidRPr="007C7097">
        <w:rPr>
          <w:rFonts w:ascii="Arial" w:hAnsi="Arial" w:cs="Arial"/>
          <w:sz w:val="24"/>
          <w:szCs w:val="24"/>
        </w:rPr>
        <w:t>can be difficult</w:t>
      </w:r>
      <w:r w:rsidRPr="007C7097">
        <w:rPr>
          <w:rFonts w:ascii="Arial" w:hAnsi="Arial" w:cs="Arial"/>
          <w:sz w:val="24"/>
          <w:szCs w:val="24"/>
        </w:rPr>
        <w:t xml:space="preserve"> for the clinician</w:t>
      </w:r>
      <w:r w:rsidR="000C1EF2" w:rsidRPr="007C7097">
        <w:rPr>
          <w:rFonts w:ascii="Arial" w:hAnsi="Arial" w:cs="Arial"/>
          <w:sz w:val="24"/>
          <w:szCs w:val="24"/>
        </w:rPr>
        <w:t xml:space="preserve"> to diagnose if one is not familiar with it. </w:t>
      </w:r>
      <w:r w:rsidR="009D0695" w:rsidRPr="007C7097">
        <w:rPr>
          <w:rFonts w:ascii="Arial" w:hAnsi="Arial" w:cs="Arial"/>
          <w:sz w:val="24"/>
          <w:szCs w:val="24"/>
        </w:rPr>
        <w:t>Thus,</w:t>
      </w:r>
      <w:r w:rsidRPr="007C7097">
        <w:rPr>
          <w:rFonts w:ascii="Arial" w:hAnsi="Arial" w:cs="Arial"/>
          <w:sz w:val="24"/>
          <w:szCs w:val="24"/>
        </w:rPr>
        <w:t xml:space="preserve"> this entity should be taken into consideration when one encounters a patient with elevated serum FT4, unsuppressed TSH and decreased serum T4/T3 ratio.  </w:t>
      </w:r>
    </w:p>
    <w:sectPr w:rsidR="00BE1C1E" w:rsidRPr="007C7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AA"/>
    <w:rsid w:val="0001365A"/>
    <w:rsid w:val="000A1C52"/>
    <w:rsid w:val="000C1EF2"/>
    <w:rsid w:val="00123067"/>
    <w:rsid w:val="00280D4F"/>
    <w:rsid w:val="002D1DAA"/>
    <w:rsid w:val="0078257E"/>
    <w:rsid w:val="007C7097"/>
    <w:rsid w:val="009D0695"/>
    <w:rsid w:val="00BE1C1E"/>
    <w:rsid w:val="00C543FD"/>
    <w:rsid w:val="00C90092"/>
    <w:rsid w:val="00F0031C"/>
    <w:rsid w:val="00F8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D77F1"/>
  <w15:chartTrackingRefBased/>
  <w15:docId w15:val="{6EF61E92-F527-4BB6-86DB-F02CBB1ED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F84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0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shing</dc:creator>
  <cp:keywords/>
  <dc:description/>
  <cp:lastModifiedBy>h shing</cp:lastModifiedBy>
  <cp:revision>5</cp:revision>
  <dcterms:created xsi:type="dcterms:W3CDTF">2019-09-18T15:48:00Z</dcterms:created>
  <dcterms:modified xsi:type="dcterms:W3CDTF">2019-09-18T18:44:00Z</dcterms:modified>
</cp:coreProperties>
</file>