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273C63" w:rsidP="008E37C5">
      <w:pPr>
        <w:pStyle w:val="Titre1"/>
        <w:spacing w:before="170"/>
        <w:ind w:left="0"/>
      </w:pPr>
      <w:r>
        <w:rPr>
          <w:color w:val="337AB7"/>
        </w:rPr>
        <w:t xml:space="preserve">Title: </w:t>
      </w:r>
      <w:r w:rsidR="008E37C5" w:rsidRPr="008E37C5">
        <w:rPr>
          <w:color w:val="337AB7"/>
        </w:rPr>
        <w:t>Exploration of the FLT3-ITD mutation in acute myeloid leukemia patients in the western Algerian population</w:t>
      </w:r>
    </w:p>
    <w:p w:rsidR="008E37C5" w:rsidRDefault="00273C63" w:rsidP="008E37C5">
      <w:pPr>
        <w:jc w:val="both"/>
        <w:rPr>
          <w:rFonts w:asciiTheme="majorBidi" w:hAnsiTheme="majorBidi" w:cstheme="majorBidi"/>
          <w:sz w:val="24"/>
          <w:szCs w:val="24"/>
          <w:vertAlign w:val="superscript"/>
        </w:rPr>
      </w:pPr>
      <w:r w:rsidRPr="00327F9B">
        <w:rPr>
          <w:rFonts w:eastAsia="MS PGothic" w:hAnsi="Arial"/>
          <w:color w:val="000000"/>
        </w:rPr>
        <w:t xml:space="preserve">Name: </w:t>
      </w:r>
      <w:r w:rsidR="008E37C5" w:rsidRPr="006217A2">
        <w:rPr>
          <w:rFonts w:asciiTheme="majorBidi" w:hAnsiTheme="majorBidi" w:cstheme="majorBidi"/>
          <w:sz w:val="24"/>
          <w:szCs w:val="24"/>
        </w:rPr>
        <w:t>Wefa BOUGHRARA</w:t>
      </w:r>
    </w:p>
    <w:p w:rsidR="00273C63" w:rsidRPr="008E37C5" w:rsidRDefault="008E37C5" w:rsidP="008E37C5">
      <w:pPr>
        <w:jc w:val="both"/>
        <w:rPr>
          <w:rFonts w:eastAsia="MS PGothic" w:hAnsi="Arial"/>
          <w:color w:val="000000"/>
        </w:rPr>
      </w:pPr>
      <w:r w:rsidRPr="008E37C5">
        <w:rPr>
          <w:rFonts w:eastAsia="MS PGothic" w:hAnsi="Arial"/>
          <w:color w:val="000000"/>
        </w:rPr>
        <w:t>Higher School of Biological Sciences of Oran (ESSBO)</w:t>
      </w:r>
      <w:r w:rsidR="00273C63" w:rsidRPr="008E37C5">
        <w:rPr>
          <w:rFonts w:eastAsia="MS PGothic" w:hAnsi="Arial"/>
          <w:color w:val="000000"/>
        </w:rPr>
        <w:t xml:space="preserve">, </w:t>
      </w:r>
      <w:r w:rsidRPr="008E37C5">
        <w:rPr>
          <w:rFonts w:eastAsia="MS PGothic" w:hAnsi="Arial"/>
          <w:color w:val="000000"/>
        </w:rPr>
        <w:t>Algeria</w:t>
      </w:r>
    </w:p>
    <w:p w:rsidR="00AE3E37" w:rsidRDefault="00022BE5" w:rsidP="00022BE5">
      <w:pPr>
        <w:pStyle w:val="Corpsdetexte"/>
        <w:tabs>
          <w:tab w:val="left" w:pos="8732"/>
        </w:tabs>
        <w:rPr>
          <w:rFonts w:ascii="Arial"/>
          <w:sz w:val="20"/>
        </w:rPr>
      </w:pPr>
      <w:r>
        <w:rPr>
          <w:rFonts w:ascii="Arial"/>
          <w:sz w:val="20"/>
        </w:rPr>
        <w:tab/>
      </w:r>
    </w:p>
    <w:p w:rsidR="00AE3E37" w:rsidRDefault="00AE3E37">
      <w:pPr>
        <w:pStyle w:val="Corpsdetexte"/>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itre3"/>
        <w:spacing w:before="147"/>
        <w:jc w:val="both"/>
      </w:pPr>
      <w:r>
        <w:rPr>
          <w:color w:val="BF5A14"/>
        </w:rPr>
        <w:lastRenderedPageBreak/>
        <w:t>Abstract</w:t>
      </w:r>
      <w:r w:rsidR="00404E5B">
        <w:rPr>
          <w:color w:val="BF5A14"/>
        </w:rPr>
        <w:t xml:space="preserve"> (300 word limit)</w:t>
      </w:r>
    </w:p>
    <w:p w:rsidR="008E37C5" w:rsidRPr="008E37C5" w:rsidRDefault="00A9710C" w:rsidP="008E37C5">
      <w:pPr>
        <w:ind w:firstLine="708"/>
        <w:jc w:val="both"/>
      </w:pPr>
      <w:r>
        <w:t xml:space="preserve">Statement of the Problem: </w:t>
      </w:r>
      <w:r w:rsidR="008E37C5" w:rsidRPr="008E37C5">
        <w:t>Leukemia affects 9,000 people worldwide each year, with 3/700 have acute myeloid leukemia (AML). They arise from mutations that affect the genes influencing hematopoiesis. FMS-related tyrosine kinase 3 (FLT3) is a tyrosine kinase receptor usually expressed in hematopoietic progenitors, is the most common genetic lesion in AML with mutations detected in 25% to 40% of cases. There are two main types of mutations: tandem internal duplication (ITD), which is the most common (~ 25% of cases) and a point mutation D835 (TKD) (~ 5%).The detection of FLT3-ITD is important for the prognosis especially in those who have a normal karyotype.</w:t>
      </w:r>
    </w:p>
    <w:p w:rsidR="008E37C5" w:rsidRPr="008E37C5" w:rsidRDefault="008E37C5" w:rsidP="008E37C5">
      <w:pPr>
        <w:ind w:firstLine="708"/>
        <w:jc w:val="both"/>
      </w:pPr>
      <w:r w:rsidRPr="008E37C5">
        <w:t>The aim of study is evaluate the FLT3-ITD mutation frequency in the western Algeria population.</w:t>
      </w:r>
    </w:p>
    <w:p w:rsidR="008E37C5" w:rsidRPr="008E37C5" w:rsidRDefault="008E37C5" w:rsidP="008E37C5">
      <w:pPr>
        <w:ind w:firstLine="708"/>
        <w:jc w:val="both"/>
      </w:pPr>
      <w:r w:rsidRPr="008E37C5">
        <w:tab/>
        <w:t>We analyzed eighty-one patients with cytogenetic and molecular biology department at the University Hospital of Oran (EHU) and those from March 2014 to March 2018. We explored the FLT3- ITD mutation using the polymerase chain reaction (PCR).</w:t>
      </w:r>
    </w:p>
    <w:p w:rsidR="008E37C5" w:rsidRPr="008E37C5" w:rsidRDefault="008E37C5" w:rsidP="008E37C5">
      <w:pPr>
        <w:ind w:firstLine="708"/>
        <w:jc w:val="both"/>
      </w:pPr>
      <w:r w:rsidRPr="008E37C5">
        <w:t>Statistical analysis showed that out of eighty-one AML patients, only eleven cases had the FLT3-ITD mutation with the heterozygous state. Which corresponds to a frequency of 12%? These results are in perfect agreement with the Chinese population estimated at 11%. However, our results are in disagreement with those reported in European population (50%) and the Egyptian population of 34.6% .</w:t>
      </w:r>
    </w:p>
    <w:p w:rsidR="008E37C5" w:rsidRPr="008E37C5" w:rsidRDefault="008E37C5" w:rsidP="008E37C5">
      <w:pPr>
        <w:ind w:firstLine="708"/>
        <w:jc w:val="both"/>
      </w:pPr>
      <w:r w:rsidRPr="008E37C5">
        <w:t>In this study, we highlighted the frequency of the FLT3-ITD mutation in the western Algerian population. It would be very interesting to consider undertaking a study on the impact of the size of the FLT3-ITD fragment on the prognosis since a study has shown that duplications of 48 to 60 base pairs are associated with very poor prognosis.</w:t>
      </w:r>
    </w:p>
    <w:p w:rsidR="00AE3E37" w:rsidRDefault="00A9710C" w:rsidP="008E37C5">
      <w:pPr>
        <w:pStyle w:val="Corpsdetexte"/>
        <w:spacing w:before="90" w:line="280" w:lineRule="auto"/>
        <w:ind w:left="100"/>
        <w:jc w:val="both"/>
      </w:pPr>
      <w:r>
        <w:br w:type="column"/>
      </w:r>
      <w:r>
        <w:rPr>
          <w:color w:val="BF5A14"/>
        </w:rPr>
        <w:lastRenderedPageBreak/>
        <w:t>Image</w:t>
      </w:r>
    </w:p>
    <w:p w:rsidR="00AE3E37" w:rsidRDefault="008E37C5" w:rsidP="008E37C5">
      <w:pPr>
        <w:pStyle w:val="Corpsdetexte"/>
        <w:spacing w:before="2"/>
        <w:jc w:val="center"/>
        <w:rPr>
          <w:rFonts w:ascii="Arial"/>
          <w:b/>
          <w:sz w:val="16"/>
        </w:rPr>
      </w:pPr>
      <w:r>
        <w:rPr>
          <w:rFonts w:ascii="Arial"/>
          <w:b/>
          <w:noProof/>
          <w:sz w:val="16"/>
          <w:lang w:val="fr-FR" w:eastAsia="fr-FR"/>
        </w:rPr>
        <w:drawing>
          <wp:inline distT="0" distB="0" distL="0" distR="0">
            <wp:extent cx="2876550" cy="1767205"/>
            <wp:effectExtent l="1905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srcRect/>
                    <a:stretch>
                      <a:fillRect/>
                    </a:stretch>
                  </pic:blipFill>
                  <pic:spPr bwMode="auto">
                    <a:xfrm>
                      <a:off x="0" y="0"/>
                      <a:ext cx="2876550" cy="1767205"/>
                    </a:xfrm>
                    <a:prstGeom prst="rect">
                      <a:avLst/>
                    </a:prstGeom>
                    <a:noFill/>
                    <a:ln w="9525">
                      <a:noFill/>
                      <a:miter lim="800000"/>
                      <a:headEnd/>
                      <a:tailEnd/>
                    </a:ln>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w:t>
      </w:r>
    </w:p>
    <w:p w:rsidR="008E37C5" w:rsidRDefault="008E37C5" w:rsidP="008E37C5">
      <w:pPr>
        <w:pStyle w:val="Paragraphedeliste"/>
        <w:numPr>
          <w:ilvl w:val="0"/>
          <w:numId w:val="4"/>
        </w:numPr>
        <w:ind w:left="0" w:firstLine="360"/>
        <w:rPr>
          <w:sz w:val="18"/>
        </w:rPr>
      </w:pPr>
      <w:r w:rsidRPr="008E37C5">
        <w:rPr>
          <w:sz w:val="18"/>
          <w:lang w:val="fr-FR"/>
        </w:rPr>
        <w:t xml:space="preserve">Arber DA, Orazi A, R Hasserjian, Thiele J, MJ Borowitz, Le Beau MM, et al. </w:t>
      </w:r>
      <w:r w:rsidRPr="008E37C5">
        <w:rPr>
          <w:sz w:val="18"/>
        </w:rPr>
        <w:t>La révision de 2016 de la classification de l'Organisation mondiale de la santé des tumeurs myéloïdes et de la leucémie aiguë. Du sang. 2016; 127: 2391-405.</w:t>
      </w:r>
    </w:p>
    <w:p w:rsidR="008E37C5" w:rsidRPr="008E37C5" w:rsidRDefault="008E37C5" w:rsidP="008E37C5">
      <w:pPr>
        <w:pStyle w:val="Paragraphedeliste"/>
        <w:numPr>
          <w:ilvl w:val="0"/>
          <w:numId w:val="4"/>
        </w:numPr>
        <w:ind w:left="0" w:firstLine="360"/>
        <w:rPr>
          <w:sz w:val="18"/>
        </w:rPr>
      </w:pPr>
      <w:r w:rsidRPr="008E37C5">
        <w:rPr>
          <w:rFonts w:ascii="Tw Cen MT" w:hAnsi="Tw Cen MT" w:cs="Tw Cen MT"/>
          <w:sz w:val="18"/>
        </w:rPr>
        <w:t xml:space="preserve">Lucena-Araujo AR, Souza DL, Morato de Oliveira F, MT Benicio, Figueiredo-Pontes LL, BA Santana-Lemos, et al. Résultats du dépistage de la mutation FLT3 et corrélations avec immunophénotypage chez 169 patients brésiliens atteints de leucémie myéloïde aiguë. Ann Hematol. 2010; 89 (2): 225-8. </w:t>
      </w:r>
    </w:p>
    <w:p w:rsidR="008E37C5" w:rsidRPr="008E37C5" w:rsidRDefault="008E37C5" w:rsidP="008E37C5">
      <w:pPr>
        <w:pStyle w:val="Paragraphedeliste"/>
        <w:numPr>
          <w:ilvl w:val="0"/>
          <w:numId w:val="4"/>
        </w:numPr>
        <w:ind w:left="0" w:firstLine="360"/>
        <w:rPr>
          <w:sz w:val="18"/>
        </w:rPr>
      </w:pPr>
      <w:r w:rsidRPr="008E37C5">
        <w:rPr>
          <w:rFonts w:ascii="Tw Cen MT" w:hAnsi="Tw Cen MT" w:cs="Tw Cen MT"/>
          <w:sz w:val="18"/>
        </w:rPr>
        <w:t>Yaghmaie M, Alimoghaddam K, Mozdarani H, Ghavamzadeh A, Hajhashemi M, Aznab M, et al. Cytogénétique et FMS-like tyrosine kinase 3 analyses de mutation chez les patients atteints de leucémie promyélocytaire aiguë. Iran Biomed J. 2012; 16 (1) : 10-7.</w:t>
      </w:r>
    </w:p>
    <w:p w:rsidR="008E37C5" w:rsidRPr="008E37C5" w:rsidRDefault="008E37C5" w:rsidP="008E37C5">
      <w:pPr>
        <w:pStyle w:val="Paragraphedeliste"/>
        <w:numPr>
          <w:ilvl w:val="0"/>
          <w:numId w:val="4"/>
        </w:numPr>
        <w:ind w:left="0" w:firstLine="360"/>
        <w:rPr>
          <w:sz w:val="18"/>
        </w:rPr>
      </w:pPr>
      <w:r w:rsidRPr="008E37C5">
        <w:rPr>
          <w:rFonts w:ascii="Tw Cen MT" w:hAnsi="Tw Cen MT" w:cs="Tw Cen MT"/>
          <w:sz w:val="18"/>
          <w:lang w:val="fr-FR"/>
        </w:rPr>
        <w:t xml:space="preserve">Koszarska M, N Meggyesi, Bors A, Batai A, Csacsovszki O, Lehoczky E, et al. </w:t>
      </w:r>
      <w:r w:rsidRPr="008E37C5">
        <w:rPr>
          <w:rFonts w:ascii="Tw Cen MT" w:hAnsi="Tw Cen MT" w:cs="Tw Cen MT"/>
          <w:sz w:val="18"/>
        </w:rPr>
        <w:t xml:space="preserve">Les duplications internes en tandem de FLT3 de taille moyenne confèrent un pronostic plus sombre que les duplications courtes et longues dans une cohorte de leucémies myéloïdes aiguës non âgées. Leuk lymphome. 2014; 55 (7): 1510-7. </w:t>
      </w:r>
    </w:p>
    <w:p w:rsidR="00AE3E37" w:rsidRPr="008E37C5" w:rsidRDefault="008E37C5" w:rsidP="008E37C5">
      <w:pPr>
        <w:pStyle w:val="Paragraphedeliste"/>
        <w:numPr>
          <w:ilvl w:val="0"/>
          <w:numId w:val="4"/>
        </w:numPr>
        <w:ind w:left="0" w:firstLine="360"/>
        <w:rPr>
          <w:sz w:val="18"/>
        </w:rPr>
        <w:sectPr w:rsidR="00AE3E37" w:rsidRPr="008E37C5">
          <w:type w:val="continuous"/>
          <w:pgSz w:w="11910" w:h="16840"/>
          <w:pgMar w:top="1740" w:right="600" w:bottom="840" w:left="620" w:header="720" w:footer="720" w:gutter="0"/>
          <w:cols w:num="2" w:space="720" w:equalWidth="0">
            <w:col w:w="5214" w:space="138"/>
            <w:col w:w="5338"/>
          </w:cols>
        </w:sectPr>
      </w:pPr>
      <w:r w:rsidRPr="008E37C5">
        <w:rPr>
          <w:rFonts w:ascii="Tw Cen MT" w:hAnsi="Tw Cen MT" w:cs="Tw Cen MT"/>
          <w:sz w:val="18"/>
        </w:rPr>
        <w:t>Lei Wang ,Wei-lai Xu, Hai-tao Meng, Wen-bin Qian, Wen-yuan Mai, Hong-yan Tong, Li-ping Mao,Yin Tong, Jie-jing Qian, Yin-jun Lou, Zhi-mei Chen,Yun-gui Wang, Jie Jin.</w:t>
      </w:r>
      <w:r w:rsidRPr="008E37C5">
        <w:rPr>
          <w:rFonts w:ascii="Tw Cen MT" w:hAnsi="Tw Cen MT"/>
          <w:sz w:val="18"/>
        </w:rPr>
        <w:t xml:space="preserve">  </w:t>
      </w:r>
      <w:r w:rsidRPr="008E37C5">
        <w:rPr>
          <w:rFonts w:ascii="Tw Cen MT" w:hAnsi="Tw Cen MT" w:cs="Tw Cen MT"/>
          <w:sz w:val="18"/>
        </w:rPr>
        <w:t>FLT3 and NPM1 mutations in Chinese patients with acute myeloid leukemia and normal cytogenetics.</w:t>
      </w:r>
      <w:r w:rsidRPr="008E37C5">
        <w:rPr>
          <w:rFonts w:ascii="Tw Cen MT" w:hAnsi="Tw Cen MT"/>
          <w:sz w:val="18"/>
        </w:rPr>
        <w:t xml:space="preserve"> </w:t>
      </w:r>
      <w:hyperlink r:id="rId10" w:tooltip="Journal of Zhejiang University SCIENCE B" w:history="1">
        <w:r w:rsidRPr="008E37C5">
          <w:rPr>
            <w:rFonts w:ascii="Tw Cen MT" w:hAnsi="Tw Cen MT"/>
            <w:sz w:val="18"/>
          </w:rPr>
          <w:t>Journal of Zhejiang University SCIENCE B</w:t>
        </w:r>
      </w:hyperlink>
      <w:r w:rsidRPr="008E37C5">
        <w:rPr>
          <w:rFonts w:ascii="Tw Cen MT" w:hAnsi="Tw Cen MT"/>
          <w:sz w:val="18"/>
        </w:rPr>
        <w:t>. 2010 ; 11, </w:t>
      </w:r>
      <w:hyperlink r:id="rId11" w:history="1">
        <w:r w:rsidRPr="008E37C5">
          <w:rPr>
            <w:rFonts w:ascii="Tw Cen MT" w:hAnsi="Tw Cen MT"/>
            <w:sz w:val="18"/>
          </w:rPr>
          <w:t>(10</w:t>
        </w:r>
      </w:hyperlink>
      <w:r w:rsidRPr="008E37C5">
        <w:rPr>
          <w:rFonts w:ascii="Tw Cen MT" w:hAnsi="Tw Cen MT"/>
          <w:sz w:val="18"/>
        </w:rPr>
        <w:t xml:space="preserve">) : 762–770. </w:t>
      </w:r>
      <w:r w:rsidR="008756E6" w:rsidRPr="008E37C5">
        <w:rPr>
          <w:rFonts w:ascii="Tw Cen MT" w:eastAsia="Tw Cen MT" w:hAnsi="Tw Cen MT" w:cs="Tw Cen MT"/>
          <w:sz w:val="18"/>
        </w:rPr>
        <w:t xml:space="preserve"> </w:t>
      </w:r>
    </w:p>
    <w:p w:rsidR="00AE3E37" w:rsidRDefault="00AE3E37">
      <w:pPr>
        <w:pStyle w:val="Corpsdetexte"/>
        <w:rPr>
          <w:rFonts w:ascii="Calibri"/>
          <w:sz w:val="20"/>
        </w:rPr>
      </w:pPr>
    </w:p>
    <w:p w:rsidR="00AE3E37" w:rsidRDefault="007D128F">
      <w:pPr>
        <w:pStyle w:val="Corpsdetexte"/>
        <w:spacing w:line="40" w:lineRule="exact"/>
        <w:ind w:left="2202"/>
        <w:rPr>
          <w:rFonts w:ascii="Calibri"/>
          <w:sz w:val="4"/>
        </w:rPr>
      </w:pPr>
      <w:r w:rsidRPr="007D128F">
        <w:rPr>
          <w:rFonts w:ascii="Calibri"/>
          <w:noProof/>
          <w:sz w:val="4"/>
          <w:lang w:val="en-IN" w:eastAsia="en-IN"/>
        </w:rPr>
      </w:r>
      <w:r w:rsidRPr="007D128F">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6B44AF" w:rsidRDefault="007D128F" w:rsidP="006B44AF">
      <w:pPr>
        <w:keepNext/>
      </w:pPr>
      <w:r w:rsidRPr="007D128F">
        <w:rPr>
          <w:noProof/>
          <w:lang w:val="en-IN" w:eastAsia="en-IN"/>
        </w:rPr>
        <w:pict>
          <v:roundrect id="Rounded Rectangle 6" o:spid="_x0000_s1029" style="position:absolute;margin-left:388.15pt;margin-top:4.65pt;width:74.25pt;height:57pt;z-index:25165926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" strokecolor="#9bbb59" strokeweight="2.5pt">
            <v:shadow color="#868686"/>
            <v:textbox>
              <w:txbxContent>
                <w:p w:rsidR="006B44AF" w:rsidRPr="008E37C5" w:rsidRDefault="008E37C5" w:rsidP="008E37C5">
                  <w:pPr>
                    <w:rPr>
                      <w:szCs w:val="20"/>
                    </w:rPr>
                  </w:pPr>
                  <w:r>
                    <w:rPr>
                      <w:noProof/>
                      <w:szCs w:val="20"/>
                      <w:lang w:val="fr-FR" w:eastAsia="fr-FR"/>
                    </w:rPr>
                    <w:drawing>
                      <wp:inline distT="0" distB="0" distL="0" distR="0">
                        <wp:extent cx="597399" cy="541050"/>
                        <wp:effectExtent l="1905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srcRect/>
                                <a:stretch>
                                  <a:fillRect/>
                                </a:stretch>
                              </pic:blipFill>
                              <pic:spPr bwMode="auto">
                                <a:xfrm>
                                  <a:off x="0" y="0"/>
                                  <a:ext cx="604862" cy="547809"/>
                                </a:xfrm>
                                <a:prstGeom prst="rect">
                                  <a:avLst/>
                                </a:prstGeom>
                                <a:noFill/>
                                <a:ln w="9525">
                                  <a:noFill/>
                                  <a:miter lim="800000"/>
                                  <a:headEnd/>
                                  <a:tailEnd/>
                                </a:ln>
                              </pic:spPr>
                            </pic:pic>
                          </a:graphicData>
                        </a:graphic>
                      </wp:inline>
                    </w:drawing>
                  </w:r>
                </w:p>
              </w:txbxContent>
            </v:textbox>
          </v:roundrect>
        </w:pict>
      </w:r>
      <w:r w:rsidR="008756E6">
        <w:rPr>
          <w:noProof/>
        </w:rPr>
        <w:t xml:space="preserve">    </w:t>
      </w:r>
      <w:r w:rsidR="008E37C5">
        <w:rPr>
          <w:rFonts w:eastAsia="MS PGothic"/>
          <w:b/>
          <w:noProof/>
          <w:color w:val="000000"/>
          <w:sz w:val="28"/>
          <w:szCs w:val="28"/>
          <w:lang w:val="fr-FR" w:eastAsia="fr-FR"/>
        </w:rPr>
        <w:drawing>
          <wp:inline distT="0" distB="0" distL="0" distR="0">
            <wp:extent cx="566577" cy="613389"/>
            <wp:effectExtent l="19050" t="0" r="4923"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srcRect/>
                    <a:stretch>
                      <a:fillRect/>
                    </a:stretch>
                  </pic:blipFill>
                  <pic:spPr bwMode="auto">
                    <a:xfrm>
                      <a:off x="0" y="0"/>
                      <a:ext cx="570577" cy="617719"/>
                    </a:xfrm>
                    <a:prstGeom prst="rect">
                      <a:avLst/>
                    </a:prstGeom>
                    <a:noFill/>
                    <a:ln w="9525">
                      <a:noFill/>
                      <a:miter lim="800000"/>
                      <a:headEnd/>
                      <a:tailEnd/>
                    </a:ln>
                  </pic:spPr>
                </pic:pic>
              </a:graphicData>
            </a:graphic>
          </wp:inline>
        </w:drawing>
      </w:r>
    </w:p>
    <w:p w:rsidR="00AE3E37" w:rsidRDefault="00A9710C" w:rsidP="006B44AF">
      <w:pPr>
        <w:spacing w:before="92"/>
        <w:ind w:right="4234"/>
        <w:rPr>
          <w:rFonts w:ascii="Arial"/>
        </w:rPr>
      </w:pPr>
      <w:r>
        <w:rPr>
          <w:rFonts w:ascii="Arial"/>
          <w:color w:val="BF5A14"/>
        </w:rPr>
        <w:t>Biography</w:t>
      </w:r>
      <w:r w:rsidR="00404E5B">
        <w:rPr>
          <w:rFonts w:ascii="Arial"/>
          <w:color w:val="BF5A14"/>
        </w:rPr>
        <w:t xml:space="preserve"> (150 word limit)</w:t>
      </w:r>
      <w:r w:rsidR="006B44AF" w:rsidRPr="006B44AF">
        <w:rPr>
          <w:noProof/>
          <w:lang w:val="en-IN" w:eastAsia="en-IN"/>
        </w:rPr>
        <w:t xml:space="preserve"> </w:t>
      </w:r>
      <w:r w:rsidR="006B44AF">
        <w:rPr>
          <w:noProof/>
          <w:lang w:val="en-IN" w:eastAsia="en-IN"/>
        </w:rPr>
        <w:t xml:space="preserve">                                                                                   </w:t>
      </w:r>
    </w:p>
    <w:p w:rsidR="00AE3E37" w:rsidRDefault="008E37C5" w:rsidP="008E37C5">
      <w:pPr>
        <w:jc w:val="both"/>
        <w:rPr>
          <w:rFonts w:ascii="Arial"/>
          <w:sz w:val="14"/>
        </w:rPr>
      </w:pPr>
      <w:r>
        <w:rPr>
          <w:rFonts w:ascii="Arial"/>
          <w:sz w:val="14"/>
        </w:rPr>
        <w:t xml:space="preserve">Teacher research at </w:t>
      </w:r>
      <w:r w:rsidRPr="008E37C5">
        <w:rPr>
          <w:rFonts w:ascii="Arial"/>
          <w:sz w:val="14"/>
        </w:rPr>
        <w:t>Higher School of Biological Sciences of Oran (ESSBO), Algeria</w:t>
      </w:r>
      <w:r>
        <w:rPr>
          <w:rFonts w:ascii="Arial"/>
          <w:sz w:val="14"/>
        </w:rPr>
        <w:t xml:space="preserve"> with HDR dergree</w:t>
      </w:r>
      <w:r w:rsidR="00742C15">
        <w:rPr>
          <w:rFonts w:ascii="Arial"/>
          <w:sz w:val="14"/>
        </w:rPr>
        <w:t>. Pharmacogenetic and personalize medicine is the research focus. Have a ten original article published and with fifty communication. Work on the pharamcogenetics on the pulmonary, leukemia cancer.</w:t>
      </w:r>
    </w:p>
    <w:p w:rsidR="00AE3E37" w:rsidRDefault="00A9710C" w:rsidP="008E37C5">
      <w:pPr>
        <w:spacing w:before="62"/>
        <w:ind w:left="4217" w:right="4235"/>
        <w:jc w:val="center"/>
        <w:rPr>
          <w:rFonts w:ascii="Arial"/>
          <w:sz w:val="14"/>
        </w:rPr>
      </w:pPr>
      <w:r>
        <w:rPr>
          <w:rFonts w:ascii="Arial"/>
          <w:sz w:val="14"/>
        </w:rPr>
        <w:t>Email:</w:t>
      </w:r>
      <w:r w:rsidR="008E37C5">
        <w:rPr>
          <w:rFonts w:ascii="Arial"/>
          <w:sz w:val="14"/>
        </w:rPr>
        <w:t xml:space="preserve"> wefaboughrara@gmail.com</w:t>
      </w:r>
    </w:p>
    <w:p w:rsidR="00AE3E37" w:rsidRDefault="007D128F">
      <w:pPr>
        <w:pStyle w:val="Corpsdetexte"/>
        <w:spacing w:before="2"/>
        <w:rPr>
          <w:rFonts w:ascii="Arial"/>
          <w:sz w:val="19"/>
        </w:rPr>
      </w:pPr>
      <w:bookmarkStart w:id="0" w:name="_GoBack"/>
      <w:bookmarkEnd w:id="0"/>
      <w:r w:rsidRPr="007D128F">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Corpsdetexte"/>
        <w:rPr>
          <w:rFonts w:ascii="Arial"/>
          <w:sz w:val="20"/>
        </w:rPr>
      </w:pPr>
    </w:p>
    <w:p w:rsidR="00AE3E37" w:rsidRDefault="00AE3E37">
      <w:pPr>
        <w:pStyle w:val="Corpsdetexte"/>
        <w:rPr>
          <w:rFonts w:ascii="Arial"/>
          <w:sz w:val="20"/>
        </w:rPr>
      </w:pPr>
    </w:p>
    <w:p w:rsidR="00AE3E37" w:rsidRPr="00B21A57" w:rsidRDefault="00A9710C" w:rsidP="006B44AF">
      <w:pPr>
        <w:spacing w:before="39"/>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Corpsdetex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76680" w:rsidRDefault="00976680">
      <w:r>
        <w:separator/>
      </w:r>
    </w:p>
  </w:endnote>
  <w:endnote w:type="continuationSeparator" w:id="1">
    <w:p w:rsidR="00976680" w:rsidRDefault="0097668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Pr="002B0A93" w:rsidRDefault="002B0A93" w:rsidP="002B0A93">
    <w:pPr>
      <w:pStyle w:val="Pieddepage"/>
      <w:jc w:val="right"/>
      <w:rPr>
        <w:rFonts w:ascii="Times New Roman" w:hAnsi="Times New Roman" w:cs="Times New Roman"/>
        <w:sz w:val="28"/>
        <w:szCs w:val="28"/>
        <w:lang w:val="en-IN"/>
      </w:rPr>
    </w:pPr>
    <w:r>
      <w:rPr>
        <w:rFonts w:ascii="Times New Roman" w:hAnsi="Times New Roman" w:cs="Times New Roman"/>
        <w:sz w:val="28"/>
        <w:szCs w:val="28"/>
        <w:lang w:val="en-IN"/>
      </w:rPr>
      <w:t xml:space="preserve">                                          </w:t>
    </w:r>
    <w:r w:rsidR="00022BE5">
      <w:rPr>
        <w:rFonts w:ascii="Times New Roman" w:hAnsi="Times New Roman" w:cs="Times New Roman"/>
        <w:sz w:val="28"/>
        <w:szCs w:val="28"/>
        <w:lang w:val="en-IN"/>
      </w:rPr>
      <w:t>Cancer</w:t>
    </w:r>
    <w:r w:rsidR="00C67322">
      <w:rPr>
        <w:rFonts w:ascii="Times New Roman" w:hAnsi="Times New Roman" w:cs="Times New Roman"/>
        <w:sz w:val="28"/>
        <w:szCs w:val="28"/>
        <w:lang w:val="en-IN"/>
      </w:rPr>
      <w:t xml:space="preserve"> Therapy</w:t>
    </w:r>
    <w:r w:rsidR="00022BE5">
      <w:rPr>
        <w:rFonts w:ascii="Times New Roman" w:hAnsi="Times New Roman" w:cs="Times New Roman"/>
        <w:sz w:val="28"/>
        <w:szCs w:val="28"/>
        <w:lang w:val="en-IN"/>
      </w:rPr>
      <w:t xml:space="preserve"> 2019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76680" w:rsidRDefault="00976680">
      <w:r>
        <w:separator/>
      </w:r>
    </w:p>
  </w:footnote>
  <w:footnote w:type="continuationSeparator" w:id="1">
    <w:p w:rsidR="00976680" w:rsidRDefault="0097668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Pr="00C80461" w:rsidRDefault="00C67322" w:rsidP="00C80461">
    <w:pPr>
      <w:pStyle w:val="En-tte"/>
    </w:pPr>
    <w:r>
      <w:rPr>
        <w:noProof/>
        <w:lang w:val="fr-FR" w:eastAsia="fr-FR"/>
      </w:rPr>
      <w:drawing>
        <wp:inline distT="0" distB="0" distL="0" distR="0">
          <wp:extent cx="6788150" cy="88138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ncer Therapy 2019.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6788150" cy="881380"/>
                  </a:xfrm>
                  <a:prstGeom prst="rect">
                    <a:avLst/>
                  </a:prstGeom>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61361729"/>
    <w:multiLevelType w:val="hybridMultilevel"/>
    <w:tmpl w:val="4DAC332E"/>
    <w:lvl w:ilvl="0" w:tplc="299A570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defaultTabStop w:val="720"/>
  <w:hyphenationZone w:val="425"/>
  <w:drawingGridHorizontalSpacing w:val="110"/>
  <w:displayHorizontalDrawingGridEvery w:val="2"/>
  <w:characterSpacingControl w:val="doNotCompress"/>
  <w:savePreviewPicture/>
  <w:hdrShapeDefaults>
    <o:shapedefaults v:ext="edit" spidmax="7170"/>
  </w:hdrShapeDefaults>
  <w:footnotePr>
    <w:footnote w:id="0"/>
    <w:footnote w:id="1"/>
  </w:footnotePr>
  <w:endnotePr>
    <w:endnote w:id="0"/>
    <w:endnote w:id="1"/>
  </w:endnotePr>
  <w:compat>
    <w:ulTrailSpace/>
  </w:compat>
  <w:rsids>
    <w:rsidRoot w:val="00AE3E37"/>
    <w:rsid w:val="00022BE5"/>
    <w:rsid w:val="0004444B"/>
    <w:rsid w:val="000E2911"/>
    <w:rsid w:val="000F7705"/>
    <w:rsid w:val="001263DF"/>
    <w:rsid w:val="00273C63"/>
    <w:rsid w:val="00292ED9"/>
    <w:rsid w:val="002B0A93"/>
    <w:rsid w:val="00404E5B"/>
    <w:rsid w:val="00414F7B"/>
    <w:rsid w:val="0042163B"/>
    <w:rsid w:val="004355DC"/>
    <w:rsid w:val="004749B4"/>
    <w:rsid w:val="00494130"/>
    <w:rsid w:val="004F3523"/>
    <w:rsid w:val="005973B9"/>
    <w:rsid w:val="005B3A56"/>
    <w:rsid w:val="006060CE"/>
    <w:rsid w:val="006272D5"/>
    <w:rsid w:val="0063497F"/>
    <w:rsid w:val="00687D1A"/>
    <w:rsid w:val="006B44AF"/>
    <w:rsid w:val="00715384"/>
    <w:rsid w:val="00742C15"/>
    <w:rsid w:val="007D128F"/>
    <w:rsid w:val="00853E1F"/>
    <w:rsid w:val="00873DF0"/>
    <w:rsid w:val="008756E6"/>
    <w:rsid w:val="008E37C5"/>
    <w:rsid w:val="00976680"/>
    <w:rsid w:val="009B2D44"/>
    <w:rsid w:val="00A07E82"/>
    <w:rsid w:val="00A9710C"/>
    <w:rsid w:val="00AE3E37"/>
    <w:rsid w:val="00B21A57"/>
    <w:rsid w:val="00B52666"/>
    <w:rsid w:val="00C07ADE"/>
    <w:rsid w:val="00C33602"/>
    <w:rsid w:val="00C67322"/>
    <w:rsid w:val="00C80461"/>
    <w:rsid w:val="00CD6F55"/>
    <w:rsid w:val="00DE3104"/>
    <w:rsid w:val="00E354CE"/>
    <w:rsid w:val="00F72EEA"/>
    <w:rsid w:val="00F84CAE"/>
    <w:rsid w:val="00F86E3E"/>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 w:type="paragraph" w:styleId="Sansinterligne">
    <w:name w:val="No Spacing"/>
    <w:uiPriority w:val="1"/>
    <w:qFormat/>
    <w:rsid w:val="006B44AF"/>
    <w:rPr>
      <w:rFonts w:ascii="Tw Cen MT" w:eastAsia="Tw Cen MT" w:hAnsi="Tw Cen MT" w:cs="Tw Cen MT"/>
    </w:rPr>
  </w:style>
  <w:style w:type="character" w:styleId="lev">
    <w:name w:val="Strong"/>
    <w:basedOn w:val="Policepardfaut"/>
    <w:uiPriority w:val="22"/>
    <w:qFormat/>
    <w:rsid w:val="008E37C5"/>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uiPriority w:val="1"/>
    <w:qFormat/>
    <w:rsid w:val="006B44AF"/>
    <w:rPr>
      <w:rFonts w:ascii="Tw Cen MT" w:eastAsia="Tw Cen MT" w:hAnsi="Tw Cen MT" w:cs="Tw Cen MT"/>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3.png"/><Relationship Id="rId2" Type="http://schemas.openxmlformats.org/officeDocument/2006/relationships/styles" Target="styles.xml"/><Relationship Id="rId16"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ink.springer.com/journal/11585/11/10/page/1"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link.springer.com/journal/11585"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626</Words>
  <Characters>3446</Characters>
  <Application>Microsoft Office Word</Application>
  <DocSecurity>0</DocSecurity>
  <Lines>28</Lines>
  <Paragraphs>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4064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2</cp:revision>
  <dcterms:created xsi:type="dcterms:W3CDTF">2019-09-17T20:43:00Z</dcterms:created>
  <dcterms:modified xsi:type="dcterms:W3CDTF">2019-09-17T20:43:00Z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