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61E" w:rsidRDefault="0098561E" w:rsidP="0098561E">
      <w:pPr>
        <w:pStyle w:val="Heading1"/>
        <w:jc w:val="center"/>
        <w:rPr>
          <w:rFonts w:asciiTheme="majorBidi" w:hAnsiTheme="majorBidi" w:cstheme="majorBidi"/>
          <w:sz w:val="24"/>
          <w:szCs w:val="24"/>
        </w:rPr>
      </w:pPr>
      <w:r>
        <w:rPr>
          <w:rFonts w:asciiTheme="majorBidi" w:hAnsiTheme="majorBidi" w:cstheme="majorBidi"/>
          <w:sz w:val="24"/>
          <w:szCs w:val="24"/>
        </w:rPr>
        <w:t xml:space="preserve">Left Ventricular Dysfunction by "Conventional" and "Tissue Doppler" Echocardiography in Pediatric Hemodialysis Patients: Relation with Plasma </w:t>
      </w:r>
      <w:r>
        <w:rPr>
          <w:rStyle w:val="highlight"/>
          <w:rFonts w:asciiTheme="majorBidi" w:hAnsiTheme="majorBidi" w:cstheme="majorBidi"/>
          <w:sz w:val="24"/>
          <w:szCs w:val="24"/>
        </w:rPr>
        <w:t>Brain Natriuretic Peptide</w:t>
      </w:r>
      <w:r>
        <w:rPr>
          <w:rFonts w:asciiTheme="majorBidi" w:hAnsiTheme="majorBidi" w:cstheme="majorBidi"/>
          <w:sz w:val="24"/>
          <w:szCs w:val="24"/>
        </w:rPr>
        <w:t xml:space="preserve"> Levels</w:t>
      </w:r>
    </w:p>
    <w:p w:rsidR="0098561E" w:rsidRDefault="0098561E" w:rsidP="0098561E">
      <w:pPr>
        <w:jc w:val="center"/>
        <w:rPr>
          <w:rFonts w:asciiTheme="majorBidi" w:hAnsiTheme="majorBidi" w:cstheme="majorBidi"/>
          <w:lang w:bidi="ar-EG"/>
        </w:rPr>
      </w:pPr>
      <w:r>
        <w:rPr>
          <w:rFonts w:asciiTheme="majorBidi" w:hAnsiTheme="majorBidi" w:cstheme="majorBidi"/>
          <w:vertAlign w:val="superscript"/>
        </w:rPr>
        <w:t>1</w:t>
      </w:r>
      <w:proofErr w:type="spellStart"/>
      <w:r>
        <w:rPr>
          <w:rFonts w:asciiTheme="majorBidi" w:hAnsiTheme="majorBidi" w:cstheme="majorBidi"/>
          <w:lang w:val="en-GB"/>
        </w:rPr>
        <w:t>Inas</w:t>
      </w:r>
      <w:proofErr w:type="spellEnd"/>
      <w:r>
        <w:rPr>
          <w:rFonts w:asciiTheme="majorBidi" w:hAnsiTheme="majorBidi" w:cstheme="majorBidi"/>
          <w:lang w:val="en-GB"/>
        </w:rPr>
        <w:t xml:space="preserve"> A.</w:t>
      </w:r>
      <w:r>
        <w:rPr>
          <w:rFonts w:asciiTheme="majorBidi" w:hAnsiTheme="majorBidi" w:cstheme="majorBidi"/>
          <w:lang w:val="en-GB"/>
        </w:rPr>
        <w:t xml:space="preserve"> </w:t>
      </w:r>
      <w:proofErr w:type="spellStart"/>
      <w:r>
        <w:rPr>
          <w:rFonts w:asciiTheme="majorBidi" w:hAnsiTheme="majorBidi" w:cstheme="majorBidi"/>
          <w:lang w:val="en-GB"/>
        </w:rPr>
        <w:t>Sa</w:t>
      </w:r>
      <w:r>
        <w:rPr>
          <w:rFonts w:asciiTheme="majorBidi" w:hAnsiTheme="majorBidi" w:cstheme="majorBidi"/>
          <w:lang w:val="en-GB"/>
        </w:rPr>
        <w:t>a</w:t>
      </w:r>
      <w:r>
        <w:rPr>
          <w:rFonts w:asciiTheme="majorBidi" w:hAnsiTheme="majorBidi" w:cstheme="majorBidi"/>
          <w:lang w:val="en-GB"/>
        </w:rPr>
        <w:t>d</w:t>
      </w:r>
      <w:proofErr w:type="spellEnd"/>
      <w:r>
        <w:rPr>
          <w:rFonts w:asciiTheme="majorBidi" w:hAnsiTheme="majorBidi" w:cstheme="majorBidi"/>
          <w:lang w:val="en-GB"/>
        </w:rPr>
        <w:t xml:space="preserve"> ,</w:t>
      </w:r>
      <w:r>
        <w:rPr>
          <w:rFonts w:asciiTheme="majorBidi" w:eastAsia="Malgun Gothic" w:hAnsiTheme="majorBidi" w:cstheme="majorBidi"/>
          <w:lang w:val="en-GB" w:bidi="ar-EG"/>
        </w:rPr>
        <w:t xml:space="preserve"> </w:t>
      </w:r>
      <w:r>
        <w:rPr>
          <w:rFonts w:asciiTheme="majorBidi" w:hAnsiTheme="majorBidi" w:cstheme="majorBidi"/>
          <w:vertAlign w:val="superscript"/>
        </w:rPr>
        <w:t>1</w:t>
      </w:r>
      <w:r>
        <w:rPr>
          <w:rFonts w:asciiTheme="majorBidi" w:hAnsiTheme="majorBidi" w:cstheme="majorBidi"/>
        </w:rPr>
        <w:t>Fatma A Mostafa ,</w:t>
      </w:r>
      <w:r>
        <w:rPr>
          <w:rFonts w:asciiTheme="majorBidi" w:hAnsiTheme="majorBidi" w:cstheme="majorBidi"/>
          <w:lang w:val="en-GB"/>
        </w:rPr>
        <w:t xml:space="preserve"> </w:t>
      </w:r>
      <w:bookmarkStart w:id="0" w:name="_GoBack"/>
      <w:bookmarkEnd w:id="0"/>
      <w:r>
        <w:rPr>
          <w:rFonts w:asciiTheme="majorBidi" w:hAnsiTheme="majorBidi" w:cstheme="majorBidi"/>
          <w:vertAlign w:val="superscript"/>
        </w:rPr>
        <w:t>2</w:t>
      </w:r>
      <w:r>
        <w:rPr>
          <w:rFonts w:asciiTheme="majorBidi" w:eastAsia="Malgun Gothic" w:hAnsiTheme="majorBidi" w:cstheme="majorBidi"/>
          <w:lang w:bidi="ar-EG"/>
        </w:rPr>
        <w:t xml:space="preserve">Manal F </w:t>
      </w:r>
      <w:proofErr w:type="spellStart"/>
      <w:r>
        <w:rPr>
          <w:rFonts w:asciiTheme="majorBidi" w:eastAsia="Malgun Gothic" w:hAnsiTheme="majorBidi" w:cstheme="majorBidi"/>
          <w:lang w:bidi="ar-EG"/>
        </w:rPr>
        <w:t>Elshamaa</w:t>
      </w:r>
      <w:proofErr w:type="spellEnd"/>
      <w:r>
        <w:rPr>
          <w:rFonts w:asciiTheme="majorBidi" w:eastAsia="Malgun Gothic" w:hAnsiTheme="majorBidi" w:cstheme="majorBidi"/>
          <w:lang w:bidi="ar-EG"/>
        </w:rPr>
        <w:t>,</w:t>
      </w:r>
      <w:r>
        <w:rPr>
          <w:rFonts w:asciiTheme="majorBidi" w:hAnsiTheme="majorBidi" w:cstheme="majorBidi"/>
          <w:lang w:val="en-GB"/>
        </w:rPr>
        <w:t xml:space="preserve"> </w:t>
      </w:r>
      <w:r>
        <w:rPr>
          <w:rFonts w:asciiTheme="majorBidi" w:hAnsiTheme="majorBidi" w:cstheme="majorBidi"/>
          <w:vertAlign w:val="superscript"/>
        </w:rPr>
        <w:t>1</w:t>
      </w:r>
      <w:r>
        <w:rPr>
          <w:rFonts w:asciiTheme="majorBidi" w:hAnsiTheme="majorBidi" w:cstheme="majorBidi"/>
          <w:lang w:val="en-GB"/>
        </w:rPr>
        <w:t xml:space="preserve">Ahmed M </w:t>
      </w:r>
      <w:proofErr w:type="spellStart"/>
      <w:r>
        <w:rPr>
          <w:rFonts w:asciiTheme="majorBidi" w:hAnsiTheme="majorBidi" w:cstheme="majorBidi"/>
          <w:lang w:val="en-GB"/>
        </w:rPr>
        <w:t>Badr</w:t>
      </w:r>
      <w:proofErr w:type="spellEnd"/>
      <w:r>
        <w:rPr>
          <w:rFonts w:asciiTheme="majorBidi" w:hAnsiTheme="majorBidi" w:cstheme="majorBidi"/>
          <w:lang w:val="en-GB"/>
        </w:rPr>
        <w:t xml:space="preserve">, </w:t>
      </w:r>
      <w:r>
        <w:rPr>
          <w:rFonts w:asciiTheme="majorBidi" w:hAnsiTheme="majorBidi" w:cstheme="majorBidi"/>
          <w:vertAlign w:val="superscript"/>
        </w:rPr>
        <w:t>2</w:t>
      </w:r>
      <w:proofErr w:type="spellStart"/>
      <w:r>
        <w:rPr>
          <w:rFonts w:asciiTheme="majorBidi" w:hAnsiTheme="majorBidi" w:cstheme="majorBidi"/>
          <w:lang w:val="en-GB"/>
        </w:rPr>
        <w:t>Soha</w:t>
      </w:r>
      <w:proofErr w:type="spellEnd"/>
      <w:r>
        <w:rPr>
          <w:rFonts w:asciiTheme="majorBidi" w:hAnsiTheme="majorBidi" w:cstheme="majorBidi"/>
          <w:lang w:val="en-GB"/>
        </w:rPr>
        <w:t xml:space="preserve"> </w:t>
      </w:r>
      <w:proofErr w:type="spellStart"/>
      <w:r>
        <w:rPr>
          <w:rFonts w:asciiTheme="majorBidi" w:hAnsiTheme="majorBidi" w:cstheme="majorBidi"/>
          <w:lang w:val="en-GB"/>
        </w:rPr>
        <w:t>Abd</w:t>
      </w:r>
      <w:proofErr w:type="spellEnd"/>
      <w:r>
        <w:rPr>
          <w:rFonts w:asciiTheme="majorBidi" w:hAnsiTheme="majorBidi" w:cstheme="majorBidi"/>
          <w:lang w:val="en-GB"/>
        </w:rPr>
        <w:t xml:space="preserve"> .</w:t>
      </w:r>
      <w:proofErr w:type="spellStart"/>
      <w:r>
        <w:rPr>
          <w:rFonts w:asciiTheme="majorBidi" w:hAnsiTheme="majorBidi" w:cstheme="majorBidi"/>
          <w:lang w:val="en-GB"/>
        </w:rPr>
        <w:t>Eldayem</w:t>
      </w:r>
      <w:proofErr w:type="spellEnd"/>
      <w:r>
        <w:rPr>
          <w:rFonts w:asciiTheme="majorBidi" w:hAnsiTheme="majorBidi" w:cstheme="majorBidi"/>
          <w:lang w:val="en-GB"/>
        </w:rPr>
        <w:t xml:space="preserve">, </w:t>
      </w:r>
      <w:r>
        <w:rPr>
          <w:rFonts w:asciiTheme="majorBidi" w:hAnsiTheme="majorBidi" w:cstheme="majorBidi"/>
          <w:vertAlign w:val="superscript"/>
        </w:rPr>
        <w:t>3</w:t>
      </w:r>
      <w:proofErr w:type="spellStart"/>
      <w:r>
        <w:rPr>
          <w:rFonts w:asciiTheme="majorBidi" w:hAnsiTheme="majorBidi" w:cstheme="majorBidi"/>
          <w:lang w:val="en-GB"/>
        </w:rPr>
        <w:t>Ingy</w:t>
      </w:r>
      <w:proofErr w:type="spellEnd"/>
      <w:r>
        <w:rPr>
          <w:rFonts w:asciiTheme="majorBidi" w:hAnsiTheme="majorBidi" w:cstheme="majorBidi"/>
          <w:lang w:val="en-GB"/>
        </w:rPr>
        <w:t xml:space="preserve"> </w:t>
      </w:r>
      <w:proofErr w:type="spellStart"/>
      <w:r>
        <w:rPr>
          <w:rFonts w:asciiTheme="majorBidi" w:hAnsiTheme="majorBidi" w:cstheme="majorBidi"/>
          <w:lang w:val="en-GB"/>
        </w:rPr>
        <w:t>Ashmawy</w:t>
      </w:r>
      <w:proofErr w:type="spellEnd"/>
      <w:r>
        <w:rPr>
          <w:rFonts w:asciiTheme="majorBidi" w:hAnsiTheme="majorBidi" w:cstheme="majorBidi"/>
          <w:lang w:val="en-GB"/>
        </w:rPr>
        <w:t>,</w:t>
      </w:r>
      <w:r>
        <w:rPr>
          <w:rFonts w:asciiTheme="majorBidi" w:hAnsiTheme="majorBidi" w:cstheme="majorBidi"/>
          <w:lang w:val="en-GB" w:bidi="he-IL"/>
        </w:rPr>
        <w:t xml:space="preserve"> </w:t>
      </w:r>
      <w:r>
        <w:rPr>
          <w:rFonts w:asciiTheme="majorBidi" w:hAnsiTheme="majorBidi" w:cstheme="majorBidi"/>
          <w:vertAlign w:val="superscript"/>
        </w:rPr>
        <w:t>2</w:t>
      </w:r>
      <w:r>
        <w:rPr>
          <w:rFonts w:asciiTheme="majorBidi" w:hAnsiTheme="majorBidi" w:cstheme="majorBidi"/>
          <w:lang w:bidi="he-IL"/>
        </w:rPr>
        <w:t xml:space="preserve">Yomna AEM </w:t>
      </w:r>
      <w:proofErr w:type="spellStart"/>
      <w:r>
        <w:rPr>
          <w:rFonts w:asciiTheme="majorBidi" w:hAnsiTheme="majorBidi" w:cstheme="majorBidi"/>
          <w:lang w:bidi="he-IL"/>
        </w:rPr>
        <w:t>Abd</w:t>
      </w:r>
      <w:proofErr w:type="spellEnd"/>
      <w:r>
        <w:rPr>
          <w:rFonts w:asciiTheme="majorBidi" w:hAnsiTheme="majorBidi" w:cstheme="majorBidi"/>
          <w:lang w:bidi="he-IL"/>
        </w:rPr>
        <w:t xml:space="preserve"> </w:t>
      </w:r>
      <w:proofErr w:type="spellStart"/>
      <w:r>
        <w:rPr>
          <w:rFonts w:asciiTheme="majorBidi" w:hAnsiTheme="majorBidi" w:cstheme="majorBidi"/>
          <w:lang w:bidi="he-IL"/>
        </w:rPr>
        <w:t>Elrahim</w:t>
      </w:r>
      <w:proofErr w:type="spellEnd"/>
      <w:r>
        <w:rPr>
          <w:rFonts w:asciiTheme="majorBidi" w:hAnsiTheme="majorBidi" w:cstheme="majorBidi"/>
          <w:lang w:bidi="he-IL"/>
        </w:rPr>
        <w:t xml:space="preserve"> </w:t>
      </w:r>
    </w:p>
    <w:p w:rsidR="0098561E" w:rsidRDefault="0098561E" w:rsidP="0098561E">
      <w:pPr>
        <w:jc w:val="center"/>
        <w:rPr>
          <w:rFonts w:asciiTheme="majorBidi" w:eastAsia="Malgun Gothic" w:hAnsiTheme="majorBidi" w:cstheme="majorBidi" w:hint="cs"/>
          <w:b/>
          <w:bCs/>
          <w:rtl/>
        </w:rPr>
      </w:pPr>
      <w:r>
        <w:rPr>
          <w:rFonts w:asciiTheme="majorBidi" w:hAnsiTheme="majorBidi" w:cstheme="majorBidi"/>
          <w:vertAlign w:val="superscript"/>
        </w:rPr>
        <w:t>1</w:t>
      </w:r>
      <w:r>
        <w:rPr>
          <w:rFonts w:asciiTheme="majorBidi" w:hAnsiTheme="majorBidi" w:cstheme="majorBidi"/>
        </w:rPr>
        <w:t xml:space="preserve">Pediatrics Department, Faculty of Medicine, Cairo University, Cairo, Egypt. </w:t>
      </w:r>
      <w:r>
        <w:rPr>
          <w:rFonts w:asciiTheme="majorBidi" w:hAnsiTheme="majorBidi" w:cstheme="majorBidi"/>
          <w:vertAlign w:val="superscript"/>
        </w:rPr>
        <w:t>2</w:t>
      </w:r>
      <w:r>
        <w:rPr>
          <w:rFonts w:asciiTheme="majorBidi" w:hAnsiTheme="majorBidi" w:cstheme="majorBidi"/>
        </w:rPr>
        <w:t>Pediatrics Department, National Research Centre, Cairo, Egypt,</w:t>
      </w:r>
      <w:r>
        <w:rPr>
          <w:rFonts w:asciiTheme="majorBidi" w:hAnsiTheme="majorBidi" w:cstheme="majorBidi"/>
          <w:vertAlign w:val="superscript"/>
        </w:rPr>
        <w:t>3</w:t>
      </w:r>
      <w:r>
        <w:rPr>
          <w:rFonts w:asciiTheme="majorBidi" w:hAnsiTheme="majorBidi" w:cstheme="majorBidi"/>
        </w:rPr>
        <w:t>Clinical &amp;Chemical Pathology Department, National Research Centre, Cairo, Egypt.</w:t>
      </w:r>
    </w:p>
    <w:p w:rsidR="0098561E" w:rsidRDefault="0098561E" w:rsidP="0098561E">
      <w:pPr>
        <w:rPr>
          <w:lang w:eastAsia="ar-SA"/>
        </w:rPr>
      </w:pPr>
    </w:p>
    <w:p w:rsidR="0098561E" w:rsidRDefault="0098561E" w:rsidP="0098561E">
      <w:pPr>
        <w:autoSpaceDE w:val="0"/>
        <w:autoSpaceDN w:val="0"/>
        <w:adjustRightInd w:val="0"/>
        <w:jc w:val="center"/>
        <w:rPr>
          <w:rFonts w:asciiTheme="majorBidi" w:hAnsiTheme="majorBidi" w:cstheme="majorBidi"/>
        </w:rPr>
      </w:pPr>
      <w:r>
        <w:rPr>
          <w:rFonts w:asciiTheme="majorBidi" w:hAnsiTheme="majorBidi" w:cstheme="majorBidi"/>
        </w:rPr>
        <w:t>Abstract</w:t>
      </w:r>
    </w:p>
    <w:p w:rsidR="0098561E" w:rsidRDefault="0098561E" w:rsidP="0098561E">
      <w:pPr>
        <w:autoSpaceDE w:val="0"/>
        <w:autoSpaceDN w:val="0"/>
        <w:adjustRightInd w:val="0"/>
        <w:jc w:val="both"/>
        <w:rPr>
          <w:rFonts w:asciiTheme="majorBidi" w:hAnsiTheme="majorBidi" w:cstheme="majorBidi"/>
        </w:rPr>
      </w:pPr>
      <w:r>
        <w:rPr>
          <w:rFonts w:asciiTheme="majorBidi" w:hAnsiTheme="majorBidi" w:cstheme="majorBidi"/>
          <w:b/>
          <w:bCs/>
        </w:rPr>
        <w:t>Objective</w:t>
      </w:r>
      <w:r>
        <w:rPr>
          <w:rFonts w:asciiTheme="majorBidi" w:eastAsia="AdvTimes" w:hAnsiTheme="majorBidi" w:cstheme="majorBidi"/>
        </w:rPr>
        <w:t xml:space="preserve">. </w:t>
      </w:r>
      <w:r>
        <w:rPr>
          <w:rFonts w:asciiTheme="majorBidi" w:hAnsiTheme="majorBidi" w:cstheme="majorBidi"/>
        </w:rPr>
        <w:t xml:space="preserve">Myocardial functions in chronic kidney disease (CKD) patients had been studied using conventional pulsed-wave Doppler echocardiography (c PWD) in pediatric and adults on regular hemodialysis (HD), however, tissue Doppler imaging (TDI) is a relatively new echocardiography method. In children with CKD, the power of prediction of B-type natriuretic peptide (BNP) concentrations and its range are not known. Our aims in this study were to evaluate left ventricular (LV) diastolic function in pediatric HD patients using TDI and </w:t>
      </w:r>
      <w:proofErr w:type="spellStart"/>
      <w:r>
        <w:rPr>
          <w:rFonts w:asciiTheme="majorBidi" w:hAnsiTheme="majorBidi" w:cstheme="majorBidi"/>
        </w:rPr>
        <w:t>cPWD</w:t>
      </w:r>
      <w:proofErr w:type="spellEnd"/>
      <w:r>
        <w:rPr>
          <w:rFonts w:asciiTheme="majorBidi" w:hAnsiTheme="majorBidi" w:cstheme="majorBidi"/>
        </w:rPr>
        <w:t xml:space="preserve">, and to compare and correlate the findings of the two modalities with BNP levels. </w:t>
      </w:r>
      <w:r>
        <w:rPr>
          <w:rFonts w:asciiTheme="majorBidi" w:hAnsiTheme="majorBidi" w:cstheme="majorBidi"/>
          <w:b/>
          <w:bCs/>
        </w:rPr>
        <w:t>Methods</w:t>
      </w:r>
      <w:r>
        <w:rPr>
          <w:rFonts w:asciiTheme="majorBidi" w:hAnsiTheme="majorBidi" w:cstheme="majorBidi"/>
        </w:rPr>
        <w:t xml:space="preserve">. Thirty children on regular HD treatment were included. LV systolic and diastolic indices obtained by </w:t>
      </w:r>
      <w:proofErr w:type="spellStart"/>
      <w:r>
        <w:rPr>
          <w:rFonts w:asciiTheme="majorBidi" w:hAnsiTheme="majorBidi" w:cstheme="majorBidi"/>
        </w:rPr>
        <w:t>cPWD</w:t>
      </w:r>
      <w:proofErr w:type="spellEnd"/>
      <w:r>
        <w:rPr>
          <w:rFonts w:asciiTheme="majorBidi" w:hAnsiTheme="majorBidi" w:cstheme="majorBidi"/>
        </w:rPr>
        <w:t xml:space="preserve"> and TDI methods and BNP levels were measured immediately before and after HD. </w:t>
      </w:r>
      <w:r>
        <w:rPr>
          <w:rFonts w:asciiTheme="majorBidi" w:hAnsiTheme="majorBidi" w:cstheme="majorBidi"/>
          <w:b/>
          <w:bCs/>
        </w:rPr>
        <w:t>Results.</w:t>
      </w:r>
      <w:r>
        <w:rPr>
          <w:rFonts w:asciiTheme="majorBidi" w:hAnsiTheme="majorBidi" w:cstheme="majorBidi"/>
        </w:rPr>
        <w:t xml:space="preserve"> After maintenance HD; LV and left atrium diameters were significantly decreased. </w:t>
      </w:r>
      <w:proofErr w:type="spellStart"/>
      <w:r>
        <w:rPr>
          <w:rFonts w:asciiTheme="majorBidi" w:hAnsiTheme="majorBidi" w:cstheme="majorBidi"/>
        </w:rPr>
        <w:t>Transmitral</w:t>
      </w:r>
      <w:proofErr w:type="spellEnd"/>
      <w:r>
        <w:rPr>
          <w:rFonts w:asciiTheme="majorBidi" w:hAnsiTheme="majorBidi" w:cstheme="majorBidi"/>
        </w:rPr>
        <w:t xml:space="preserve"> E velocity and E/A ratio decreased. Also there were significant decrease in the early</w:t>
      </w:r>
      <w:r>
        <w:rPr>
          <w:rFonts w:asciiTheme="majorBidi" w:eastAsia="Calibri" w:hAnsiTheme="majorBidi" w:cstheme="majorBidi"/>
        </w:rPr>
        <w:t xml:space="preserve"> diastolic velocity E’</w:t>
      </w:r>
      <w:r>
        <w:rPr>
          <w:rFonts w:asciiTheme="majorBidi" w:hAnsiTheme="majorBidi" w:cstheme="majorBidi"/>
        </w:rPr>
        <w:t xml:space="preserve"> of </w:t>
      </w:r>
      <w:r>
        <w:rPr>
          <w:rFonts w:asciiTheme="majorBidi" w:eastAsia="Calibri" w:hAnsiTheme="majorBidi" w:cstheme="majorBidi"/>
        </w:rPr>
        <w:t>LV wall, septal wall and anterior wall.</w:t>
      </w:r>
      <w:r>
        <w:rPr>
          <w:rFonts w:asciiTheme="majorBidi" w:hAnsiTheme="majorBidi" w:cstheme="majorBidi"/>
        </w:rPr>
        <w:t xml:space="preserve"> Mean </w:t>
      </w:r>
      <w:r>
        <w:rPr>
          <w:rFonts w:asciiTheme="majorBidi" w:eastAsia="Calibri" w:hAnsiTheme="majorBidi" w:cstheme="majorBidi"/>
          <w:bCs/>
        </w:rPr>
        <w:t xml:space="preserve">E/E’ </w:t>
      </w:r>
      <w:r>
        <w:rPr>
          <w:rFonts w:asciiTheme="majorBidi" w:hAnsiTheme="majorBidi" w:cstheme="majorBidi"/>
        </w:rPr>
        <w:t xml:space="preserve">ratio and ratios of lateral and septal walls were decreased significantly. BNP levels decreased significantly during HD when comparing concentrations before and after HD. BNP strongly correlated with LV diastolic function indices. </w:t>
      </w:r>
      <w:r>
        <w:rPr>
          <w:rFonts w:asciiTheme="majorBidi" w:hAnsiTheme="majorBidi" w:cstheme="majorBidi"/>
          <w:b/>
          <w:bCs/>
        </w:rPr>
        <w:t>Conclusion</w:t>
      </w:r>
      <w:r>
        <w:rPr>
          <w:rFonts w:asciiTheme="majorBidi" w:hAnsiTheme="majorBidi" w:cstheme="majorBidi"/>
        </w:rPr>
        <w:t xml:space="preserve"> .The </w:t>
      </w:r>
      <w:proofErr w:type="spellStart"/>
      <w:r>
        <w:rPr>
          <w:rFonts w:asciiTheme="majorBidi" w:hAnsiTheme="majorBidi" w:cstheme="majorBidi"/>
        </w:rPr>
        <w:t>cPWD</w:t>
      </w:r>
      <w:proofErr w:type="spellEnd"/>
      <w:r>
        <w:rPr>
          <w:rFonts w:asciiTheme="majorBidi" w:hAnsiTheme="majorBidi" w:cstheme="majorBidi"/>
        </w:rPr>
        <w:t xml:space="preserve"> and TDI -derived LV indices are influenced by HD. The loading status of a patient should be taken into account during the application of the LV diastolic indices for the evaluation of myocardial performance. The diagnostic usefulness of BNP in the occurrence of renal dysfunction may be compromised to certain extent.</w:t>
      </w:r>
    </w:p>
    <w:p w:rsidR="009C0669" w:rsidRDefault="009C0669"/>
    <w:sectPr w:rsidR="009C0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Times">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358"/>
    <w:rsid w:val="00855358"/>
    <w:rsid w:val="0098561E"/>
    <w:rsid w:val="009C06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4E023A-8585-427B-B749-B0986C8F2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61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8561E"/>
    <w:pPr>
      <w:keepNext/>
      <w:bidi/>
      <w:snapToGrid w:val="0"/>
      <w:outlineLvl w:val="0"/>
    </w:pPr>
    <w:rPr>
      <w:rFonts w:cs="Arabic Transparent"/>
      <w:b/>
      <w:bCs/>
      <w:sz w:val="20"/>
      <w:szCs w:val="2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561E"/>
    <w:rPr>
      <w:rFonts w:ascii="Times New Roman" w:eastAsia="Times New Roman" w:hAnsi="Times New Roman" w:cs="Arabic Transparent"/>
      <w:b/>
      <w:bCs/>
      <w:sz w:val="20"/>
      <w:szCs w:val="28"/>
      <w:lang w:eastAsia="ar-SA"/>
    </w:rPr>
  </w:style>
  <w:style w:type="character" w:customStyle="1" w:styleId="highlight">
    <w:name w:val="highlight"/>
    <w:basedOn w:val="DefaultParagraphFont"/>
    <w:rsid w:val="00985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29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1860</Characters>
  <Application>Microsoft Office Word</Application>
  <DocSecurity>0</DocSecurity>
  <Lines>15</Lines>
  <Paragraphs>4</Paragraphs>
  <ScaleCrop>false</ScaleCrop>
  <Company/>
  <LinksUpToDate>false</LinksUpToDate>
  <CharactersWithSpaces>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mostafa ibrahim</dc:creator>
  <cp:keywords/>
  <dc:description/>
  <cp:lastModifiedBy>mostafa ibrahim</cp:lastModifiedBy>
  <cp:revision>2</cp:revision>
  <dcterms:created xsi:type="dcterms:W3CDTF">2018-08-11T11:35:00Z</dcterms:created>
  <dcterms:modified xsi:type="dcterms:W3CDTF">2018-08-11T11:36:00Z</dcterms:modified>
</cp:coreProperties>
</file>