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9CB" w:rsidRDefault="007369CB" w:rsidP="007369CB">
      <w:pPr>
        <w:jc w:val="center"/>
        <w:rPr>
          <w:rStyle w:val="tlid-translation"/>
          <w:rFonts w:asciiTheme="minorBidi" w:hAnsiTheme="minorBidi"/>
          <w:b/>
          <w:bCs/>
        </w:rPr>
      </w:pPr>
      <w:r w:rsidRPr="007369CB">
        <w:rPr>
          <w:rStyle w:val="tlid-translation"/>
          <w:rFonts w:asciiTheme="minorBidi" w:hAnsiTheme="minorBidi"/>
          <w:b/>
          <w:bCs/>
        </w:rPr>
        <w:t>Quand l</w:t>
      </w:r>
      <w:r>
        <w:rPr>
          <w:rStyle w:val="tlid-translation"/>
          <w:rFonts w:asciiTheme="minorBidi" w:hAnsiTheme="minorBidi"/>
          <w:b/>
          <w:bCs/>
        </w:rPr>
        <w:t>’</w:t>
      </w:r>
      <w:r w:rsidRPr="007369CB">
        <w:rPr>
          <w:rStyle w:val="tlid-translation"/>
          <w:rFonts w:asciiTheme="minorBidi" w:hAnsiTheme="minorBidi"/>
          <w:b/>
          <w:bCs/>
        </w:rPr>
        <w:t xml:space="preserve">hypothyroïdie complique une carence en vitamine B12 </w:t>
      </w:r>
    </w:p>
    <w:p w:rsidR="007369CB" w:rsidRDefault="007369CB" w:rsidP="007369CB">
      <w:pPr>
        <w:rPr>
          <w:rStyle w:val="tlid-translation"/>
          <w:rFonts w:asciiTheme="minorBidi" w:hAnsiTheme="minorBidi"/>
          <w:sz w:val="20"/>
          <w:szCs w:val="20"/>
        </w:rPr>
      </w:pPr>
      <w:proofErr w:type="spellStart"/>
      <w:r w:rsidRPr="007369CB">
        <w:rPr>
          <w:rStyle w:val="tlid-translation"/>
          <w:rFonts w:asciiTheme="minorBidi" w:hAnsiTheme="minorBidi"/>
          <w:sz w:val="20"/>
          <w:szCs w:val="20"/>
        </w:rPr>
        <w:t>S.Aggoune</w:t>
      </w:r>
      <w:proofErr w:type="spellEnd"/>
      <w:r w:rsidRPr="007369CB">
        <w:rPr>
          <w:rStyle w:val="tlid-translation"/>
          <w:rFonts w:asciiTheme="minorBidi" w:hAnsiTheme="minorBidi"/>
          <w:sz w:val="20"/>
          <w:szCs w:val="20"/>
        </w:rPr>
        <w:t xml:space="preserve"> ; </w:t>
      </w:r>
      <w:proofErr w:type="spellStart"/>
      <w:r w:rsidRPr="007369CB">
        <w:rPr>
          <w:rStyle w:val="tlid-translation"/>
          <w:rFonts w:asciiTheme="minorBidi" w:hAnsiTheme="minorBidi"/>
          <w:sz w:val="20"/>
          <w:szCs w:val="20"/>
        </w:rPr>
        <w:t>A.Djermane</w:t>
      </w:r>
      <w:proofErr w:type="spellEnd"/>
      <w:r w:rsidRPr="007369CB">
        <w:rPr>
          <w:rStyle w:val="tlid-translation"/>
          <w:rFonts w:asciiTheme="minorBidi" w:hAnsiTheme="minorBidi"/>
          <w:sz w:val="20"/>
          <w:szCs w:val="20"/>
        </w:rPr>
        <w:t xml:space="preserve"> ; </w:t>
      </w:r>
      <w:proofErr w:type="spellStart"/>
      <w:r w:rsidRPr="007369CB">
        <w:rPr>
          <w:rStyle w:val="tlid-translation"/>
          <w:rFonts w:asciiTheme="minorBidi" w:hAnsiTheme="minorBidi"/>
          <w:sz w:val="20"/>
          <w:szCs w:val="20"/>
        </w:rPr>
        <w:t>Y.Laloui</w:t>
      </w:r>
      <w:proofErr w:type="spellEnd"/>
      <w:r w:rsidRPr="007369CB">
        <w:rPr>
          <w:rStyle w:val="tlid-translation"/>
          <w:rFonts w:asciiTheme="minorBidi" w:hAnsiTheme="minorBidi"/>
          <w:sz w:val="20"/>
          <w:szCs w:val="20"/>
        </w:rPr>
        <w:t xml:space="preserve"> ; </w:t>
      </w:r>
      <w:proofErr w:type="spellStart"/>
      <w:r w:rsidRPr="007369CB">
        <w:rPr>
          <w:rStyle w:val="tlid-translation"/>
          <w:rFonts w:asciiTheme="minorBidi" w:hAnsiTheme="minorBidi"/>
          <w:sz w:val="20"/>
          <w:szCs w:val="20"/>
        </w:rPr>
        <w:t>M.A.Aziz</w:t>
      </w:r>
      <w:proofErr w:type="spellEnd"/>
      <w:r w:rsidRPr="007369CB">
        <w:rPr>
          <w:rStyle w:val="tlid-translation"/>
          <w:rFonts w:asciiTheme="minorBidi" w:hAnsiTheme="minorBidi"/>
          <w:sz w:val="20"/>
          <w:szCs w:val="20"/>
        </w:rPr>
        <w:t> </w:t>
      </w:r>
      <w:proofErr w:type="gramStart"/>
      <w:r w:rsidRPr="007369CB">
        <w:rPr>
          <w:rStyle w:val="tlid-translation"/>
          <w:rFonts w:asciiTheme="minorBidi" w:hAnsiTheme="minorBidi"/>
          <w:sz w:val="20"/>
          <w:szCs w:val="20"/>
        </w:rPr>
        <w:t>;</w:t>
      </w:r>
      <w:proofErr w:type="spellStart"/>
      <w:r>
        <w:rPr>
          <w:rStyle w:val="tlid-translation"/>
          <w:rFonts w:asciiTheme="minorBidi" w:hAnsiTheme="minorBidi"/>
          <w:sz w:val="20"/>
          <w:szCs w:val="20"/>
        </w:rPr>
        <w:t>Y.Aberkane</w:t>
      </w:r>
      <w:proofErr w:type="spellEnd"/>
      <w:proofErr w:type="gramEnd"/>
      <w:r>
        <w:rPr>
          <w:rStyle w:val="tlid-translation"/>
          <w:rFonts w:asciiTheme="minorBidi" w:hAnsiTheme="minorBidi"/>
          <w:sz w:val="20"/>
          <w:szCs w:val="20"/>
        </w:rPr>
        <w:t xml:space="preserve"> ; </w:t>
      </w:r>
      <w:r w:rsidRPr="007369CB">
        <w:rPr>
          <w:rStyle w:val="tlid-translation"/>
          <w:rFonts w:asciiTheme="minorBidi" w:hAnsiTheme="minorBidi"/>
          <w:sz w:val="20"/>
          <w:szCs w:val="20"/>
        </w:rPr>
        <w:t xml:space="preserve"> </w:t>
      </w:r>
      <w:proofErr w:type="spellStart"/>
      <w:r w:rsidRPr="007369CB">
        <w:rPr>
          <w:rStyle w:val="tlid-translation"/>
          <w:rFonts w:asciiTheme="minorBidi" w:hAnsiTheme="minorBidi"/>
          <w:sz w:val="20"/>
          <w:szCs w:val="20"/>
        </w:rPr>
        <w:t>D.Boukria</w:t>
      </w:r>
      <w:proofErr w:type="spellEnd"/>
      <w:r w:rsidRPr="007369CB">
        <w:rPr>
          <w:rStyle w:val="tlid-translation"/>
          <w:rFonts w:asciiTheme="minorBidi" w:hAnsiTheme="minorBidi"/>
          <w:sz w:val="20"/>
          <w:szCs w:val="20"/>
        </w:rPr>
        <w:t xml:space="preserve"> ; </w:t>
      </w:r>
      <w:proofErr w:type="spellStart"/>
      <w:r>
        <w:rPr>
          <w:rStyle w:val="tlid-translation"/>
          <w:rFonts w:asciiTheme="minorBidi" w:hAnsiTheme="minorBidi"/>
          <w:sz w:val="20"/>
          <w:szCs w:val="20"/>
        </w:rPr>
        <w:t>H.Maouche</w:t>
      </w:r>
      <w:proofErr w:type="spellEnd"/>
      <w:r>
        <w:rPr>
          <w:rStyle w:val="tlid-translation"/>
          <w:rFonts w:asciiTheme="minorBidi" w:hAnsiTheme="minorBidi"/>
          <w:sz w:val="20"/>
          <w:szCs w:val="20"/>
        </w:rPr>
        <w:t xml:space="preserve"> </w:t>
      </w:r>
    </w:p>
    <w:p w:rsidR="007369CB" w:rsidRDefault="007369CB" w:rsidP="007369CB">
      <w:pPr>
        <w:rPr>
          <w:rStyle w:val="tlid-translation"/>
          <w:rFonts w:asciiTheme="minorBidi" w:hAnsiTheme="minorBidi"/>
          <w:sz w:val="20"/>
          <w:szCs w:val="20"/>
        </w:rPr>
      </w:pPr>
      <w:r>
        <w:rPr>
          <w:rStyle w:val="tlid-translation"/>
          <w:rFonts w:asciiTheme="minorBidi" w:hAnsiTheme="minorBidi"/>
          <w:sz w:val="20"/>
          <w:szCs w:val="20"/>
        </w:rPr>
        <w:t>Service de pédiatrie</w:t>
      </w:r>
    </w:p>
    <w:p w:rsidR="007369CB" w:rsidRDefault="007369CB" w:rsidP="007369CB">
      <w:pPr>
        <w:rPr>
          <w:rStyle w:val="tlid-translation"/>
          <w:rFonts w:asciiTheme="minorBidi" w:hAnsiTheme="minorBidi"/>
          <w:sz w:val="20"/>
          <w:szCs w:val="20"/>
        </w:rPr>
      </w:pPr>
      <w:r>
        <w:rPr>
          <w:rStyle w:val="tlid-translation"/>
          <w:rFonts w:asciiTheme="minorBidi" w:hAnsiTheme="minorBidi"/>
          <w:sz w:val="20"/>
          <w:szCs w:val="20"/>
        </w:rPr>
        <w:t xml:space="preserve">EPH Hassen </w:t>
      </w:r>
      <w:proofErr w:type="spellStart"/>
      <w:r>
        <w:rPr>
          <w:rStyle w:val="tlid-translation"/>
          <w:rFonts w:asciiTheme="minorBidi" w:hAnsiTheme="minorBidi"/>
          <w:sz w:val="20"/>
          <w:szCs w:val="20"/>
        </w:rPr>
        <w:t>Badi</w:t>
      </w:r>
      <w:proofErr w:type="spellEnd"/>
      <w:r>
        <w:rPr>
          <w:rStyle w:val="tlid-translation"/>
          <w:rFonts w:asciiTheme="minorBidi" w:hAnsiTheme="minorBidi"/>
          <w:sz w:val="20"/>
          <w:szCs w:val="20"/>
        </w:rPr>
        <w:t xml:space="preserve"> </w:t>
      </w:r>
      <w:proofErr w:type="gramStart"/>
      <w:r>
        <w:rPr>
          <w:rStyle w:val="tlid-translation"/>
          <w:rFonts w:asciiTheme="minorBidi" w:hAnsiTheme="minorBidi"/>
          <w:sz w:val="20"/>
          <w:szCs w:val="20"/>
        </w:rPr>
        <w:t>( EX</w:t>
      </w:r>
      <w:proofErr w:type="gramEnd"/>
      <w:r>
        <w:rPr>
          <w:rStyle w:val="tlid-translation"/>
          <w:rFonts w:asciiTheme="minorBidi" w:hAnsiTheme="minorBidi"/>
          <w:sz w:val="20"/>
          <w:szCs w:val="20"/>
        </w:rPr>
        <w:t xml:space="preserve"> Belfort)</w:t>
      </w:r>
    </w:p>
    <w:p w:rsidR="005405D3" w:rsidRDefault="007369CB" w:rsidP="005405D3">
      <w:pPr>
        <w:rPr>
          <w:rStyle w:val="tlid-translation"/>
        </w:rPr>
      </w:pPr>
      <w:r w:rsidRPr="005405D3">
        <w:rPr>
          <w:rStyle w:val="tlid-translation"/>
          <w:rFonts w:asciiTheme="minorBidi" w:hAnsiTheme="minorBidi"/>
          <w:b/>
          <w:bCs/>
          <w:sz w:val="20"/>
          <w:szCs w:val="20"/>
        </w:rPr>
        <w:t>Objectifs</w:t>
      </w:r>
      <w:r>
        <w:rPr>
          <w:rStyle w:val="tlid-translation"/>
          <w:rFonts w:asciiTheme="minorBidi" w:hAnsiTheme="minorBidi"/>
          <w:sz w:val="20"/>
          <w:szCs w:val="20"/>
        </w:rPr>
        <w:t xml:space="preserve"> : </w:t>
      </w:r>
      <w:r w:rsidR="005405D3">
        <w:rPr>
          <w:rStyle w:val="tlid-translation"/>
        </w:rPr>
        <w:t>Bien que l’anémie soit fréquente chez les adultes atteints</w:t>
      </w:r>
      <w:r w:rsidR="005405D3">
        <w:t xml:space="preserve"> </w:t>
      </w:r>
      <w:r w:rsidR="00726656">
        <w:rPr>
          <w:rStyle w:val="tlid-translation"/>
        </w:rPr>
        <w:t>d</w:t>
      </w:r>
      <w:r w:rsidR="005405D3">
        <w:rPr>
          <w:rStyle w:val="tlid-translation"/>
        </w:rPr>
        <w:t xml:space="preserve">'hypothyroïdie, il existe peu d’études sur  l’association </w:t>
      </w:r>
      <w:r w:rsidR="005405D3">
        <w:t xml:space="preserve"> </w:t>
      </w:r>
      <w:r w:rsidR="005405D3">
        <w:rPr>
          <w:rStyle w:val="tlid-translation"/>
        </w:rPr>
        <w:t>anémie et hypothyroïdie congénitale chez les nourrissons.</w:t>
      </w:r>
    </w:p>
    <w:p w:rsidR="005405D3" w:rsidRDefault="005405D3" w:rsidP="005405D3">
      <w:pPr>
        <w:rPr>
          <w:rStyle w:val="tlid-translation"/>
          <w:rFonts w:asciiTheme="minorBidi" w:hAnsiTheme="minorBidi"/>
          <w:b/>
          <w:bCs/>
          <w:sz w:val="20"/>
          <w:szCs w:val="20"/>
        </w:rPr>
      </w:pPr>
      <w:r w:rsidRPr="005405D3">
        <w:rPr>
          <w:rStyle w:val="tlid-translation"/>
          <w:rFonts w:asciiTheme="minorBidi" w:hAnsiTheme="minorBidi"/>
          <w:b/>
          <w:bCs/>
          <w:sz w:val="20"/>
          <w:szCs w:val="20"/>
        </w:rPr>
        <w:t>Matériel et méthodes</w:t>
      </w:r>
      <w:r>
        <w:rPr>
          <w:rStyle w:val="tlid-translation"/>
          <w:rFonts w:asciiTheme="minorBidi" w:hAnsiTheme="minorBidi"/>
          <w:b/>
          <w:bCs/>
          <w:sz w:val="20"/>
          <w:szCs w:val="20"/>
        </w:rPr>
        <w:t> </w:t>
      </w:r>
    </w:p>
    <w:p w:rsidR="005405D3" w:rsidRDefault="005405D3" w:rsidP="00C8175C">
      <w:pPr>
        <w:rPr>
          <w:rStyle w:val="tlid-translation"/>
          <w:rFonts w:asciiTheme="minorBidi" w:hAnsiTheme="minorBidi"/>
          <w:sz w:val="20"/>
          <w:szCs w:val="20"/>
        </w:rPr>
      </w:pPr>
      <w:r w:rsidRPr="005405D3">
        <w:rPr>
          <w:rStyle w:val="tlid-translation"/>
          <w:rFonts w:asciiTheme="minorBidi" w:hAnsiTheme="minorBidi"/>
          <w:sz w:val="20"/>
          <w:szCs w:val="20"/>
        </w:rPr>
        <w:t xml:space="preserve">Nourrisson de 8mois adressé pour exploration et prise en charge d’un retard psychomoteur </w:t>
      </w:r>
      <w:r>
        <w:rPr>
          <w:rStyle w:val="tlid-translation"/>
          <w:rFonts w:asciiTheme="minorBidi" w:hAnsiTheme="minorBidi"/>
          <w:sz w:val="20"/>
          <w:szCs w:val="20"/>
        </w:rPr>
        <w:t xml:space="preserve">associé à un retard </w:t>
      </w:r>
      <w:r w:rsidRPr="005405D3">
        <w:rPr>
          <w:rStyle w:val="tlid-translation"/>
          <w:rFonts w:asciiTheme="minorBidi" w:hAnsiTheme="minorBidi"/>
          <w:sz w:val="20"/>
          <w:szCs w:val="20"/>
        </w:rPr>
        <w:t>staturo</w:t>
      </w:r>
      <w:r w:rsidR="00C8175C">
        <w:rPr>
          <w:rStyle w:val="tlid-translation"/>
          <w:rFonts w:asciiTheme="minorBidi" w:hAnsiTheme="minorBidi"/>
          <w:sz w:val="20"/>
          <w:szCs w:val="20"/>
        </w:rPr>
        <w:t>-</w:t>
      </w:r>
      <w:r w:rsidRPr="005405D3">
        <w:rPr>
          <w:rStyle w:val="tlid-translation"/>
          <w:rFonts w:asciiTheme="minorBidi" w:hAnsiTheme="minorBidi"/>
          <w:sz w:val="20"/>
          <w:szCs w:val="20"/>
        </w:rPr>
        <w:t xml:space="preserve">pondéral </w:t>
      </w:r>
      <w:r>
        <w:rPr>
          <w:rStyle w:val="tlid-translation"/>
          <w:rFonts w:asciiTheme="minorBidi" w:hAnsiTheme="minorBidi"/>
          <w:sz w:val="20"/>
          <w:szCs w:val="20"/>
        </w:rPr>
        <w:t xml:space="preserve"> avec suspicion d’hypothyroïdie.</w:t>
      </w:r>
    </w:p>
    <w:p w:rsidR="005405D3" w:rsidRDefault="005405D3" w:rsidP="005405D3">
      <w:pPr>
        <w:rPr>
          <w:rStyle w:val="tlid-translation"/>
          <w:rFonts w:asciiTheme="minorBidi" w:hAnsiTheme="minorBidi"/>
          <w:b/>
          <w:bCs/>
          <w:sz w:val="20"/>
          <w:szCs w:val="20"/>
        </w:rPr>
      </w:pPr>
      <w:r w:rsidRPr="005405D3">
        <w:rPr>
          <w:rStyle w:val="tlid-translation"/>
          <w:rFonts w:asciiTheme="minorBidi" w:hAnsiTheme="minorBidi"/>
          <w:b/>
          <w:bCs/>
          <w:sz w:val="20"/>
          <w:szCs w:val="20"/>
        </w:rPr>
        <w:t>Résultats</w:t>
      </w:r>
      <w:r>
        <w:rPr>
          <w:rStyle w:val="tlid-translation"/>
          <w:rFonts w:asciiTheme="minorBidi" w:hAnsiTheme="minorBidi"/>
          <w:b/>
          <w:bCs/>
          <w:sz w:val="20"/>
          <w:szCs w:val="20"/>
        </w:rPr>
        <w:t> </w:t>
      </w:r>
    </w:p>
    <w:p w:rsidR="00114D48" w:rsidRDefault="005405D3" w:rsidP="00114D48">
      <w:pPr>
        <w:rPr>
          <w:rStyle w:val="tlid-translation"/>
          <w:rFonts w:asciiTheme="minorBidi" w:hAnsiTheme="minorBidi"/>
          <w:sz w:val="20"/>
          <w:szCs w:val="20"/>
        </w:rPr>
      </w:pPr>
      <w:r w:rsidRPr="005405D3">
        <w:rPr>
          <w:rStyle w:val="tlid-translation"/>
          <w:rFonts w:asciiTheme="minorBidi" w:hAnsiTheme="minorBidi"/>
          <w:sz w:val="20"/>
          <w:szCs w:val="20"/>
        </w:rPr>
        <w:t>L’examen à son admission retrouve un retard sta</w:t>
      </w:r>
      <w:r>
        <w:rPr>
          <w:rStyle w:val="tlid-translation"/>
          <w:rFonts w:asciiTheme="minorBidi" w:hAnsiTheme="minorBidi"/>
          <w:sz w:val="20"/>
          <w:szCs w:val="20"/>
        </w:rPr>
        <w:t>turo-</w:t>
      </w:r>
      <w:r w:rsidRPr="005405D3">
        <w:rPr>
          <w:rStyle w:val="tlid-translation"/>
          <w:rFonts w:asciiTheme="minorBidi" w:hAnsiTheme="minorBidi"/>
          <w:sz w:val="20"/>
          <w:szCs w:val="20"/>
        </w:rPr>
        <w:t>pondéral avec un déf</w:t>
      </w:r>
      <w:r>
        <w:rPr>
          <w:rStyle w:val="tlid-translation"/>
          <w:rFonts w:asciiTheme="minorBidi" w:hAnsiTheme="minorBidi"/>
          <w:sz w:val="20"/>
          <w:szCs w:val="20"/>
        </w:rPr>
        <w:t>icit pondéral de 33% et une tai</w:t>
      </w:r>
      <w:r w:rsidRPr="005405D3">
        <w:rPr>
          <w:rStyle w:val="tlid-translation"/>
          <w:rFonts w:asciiTheme="minorBidi" w:hAnsiTheme="minorBidi"/>
          <w:sz w:val="20"/>
          <w:szCs w:val="20"/>
        </w:rPr>
        <w:t>lle entre le P25-P50 ; il existait une dysmorphie faciale, un</w:t>
      </w:r>
      <w:r>
        <w:rPr>
          <w:rStyle w:val="tlid-translation"/>
          <w:rFonts w:asciiTheme="minorBidi" w:hAnsiTheme="minorBidi"/>
          <w:sz w:val="20"/>
          <w:szCs w:val="20"/>
        </w:rPr>
        <w:t xml:space="preserve"> </w:t>
      </w:r>
      <w:r w:rsidRPr="005405D3">
        <w:rPr>
          <w:rStyle w:val="tlid-translation"/>
          <w:rFonts w:asciiTheme="minorBidi" w:hAnsiTheme="minorBidi"/>
          <w:sz w:val="20"/>
          <w:szCs w:val="20"/>
        </w:rPr>
        <w:t xml:space="preserve">retard psychomoteur, une apathie totale à l’examen avec pâleur cutanéomuqueuse intense sans syndrome hémorragique ni </w:t>
      </w:r>
      <w:r w:rsidR="00114D48">
        <w:rPr>
          <w:rStyle w:val="tlid-translation"/>
          <w:rFonts w:asciiTheme="minorBidi" w:hAnsiTheme="minorBidi"/>
          <w:sz w:val="20"/>
          <w:szCs w:val="20"/>
        </w:rPr>
        <w:t>hépatosplénomégalie. Une numération formule sanguine retrouve une bi cytopénie avec 5g/dl d’</w:t>
      </w:r>
      <w:proofErr w:type="spellStart"/>
      <w:r w:rsidR="00114D48">
        <w:rPr>
          <w:rStyle w:val="tlid-translation"/>
          <w:rFonts w:asciiTheme="minorBidi" w:hAnsiTheme="minorBidi"/>
          <w:sz w:val="20"/>
          <w:szCs w:val="20"/>
        </w:rPr>
        <w:t>hb</w:t>
      </w:r>
      <w:proofErr w:type="spellEnd"/>
      <w:r w:rsidR="00114D48">
        <w:rPr>
          <w:rStyle w:val="tlid-translation"/>
          <w:rFonts w:asciiTheme="minorBidi" w:hAnsiTheme="minorBidi"/>
          <w:sz w:val="20"/>
          <w:szCs w:val="20"/>
        </w:rPr>
        <w:t xml:space="preserve"> et une thrombopénie à 90000/mm</w:t>
      </w:r>
      <w:r w:rsidR="00114D48" w:rsidRPr="00114D48">
        <w:rPr>
          <w:rStyle w:val="tlid-translation"/>
          <w:rFonts w:asciiTheme="minorBidi" w:hAnsiTheme="minorBidi"/>
          <w:sz w:val="20"/>
          <w:szCs w:val="20"/>
          <w:vertAlign w:val="superscript"/>
        </w:rPr>
        <w:t>3</w:t>
      </w:r>
      <w:r w:rsidR="00114D48">
        <w:rPr>
          <w:rStyle w:val="tlid-translation"/>
          <w:rFonts w:asciiTheme="minorBidi" w:hAnsiTheme="minorBidi"/>
          <w:sz w:val="20"/>
          <w:szCs w:val="20"/>
        </w:rPr>
        <w:t xml:space="preserve"> avec au frottis sanguin une </w:t>
      </w:r>
      <w:proofErr w:type="spellStart"/>
      <w:r w:rsidR="00114D48">
        <w:rPr>
          <w:rStyle w:val="tlid-translation"/>
          <w:rFonts w:asciiTheme="minorBidi" w:hAnsiTheme="minorBidi"/>
          <w:sz w:val="20"/>
          <w:szCs w:val="20"/>
        </w:rPr>
        <w:t>normocytose</w:t>
      </w:r>
      <w:proofErr w:type="spellEnd"/>
      <w:r w:rsidR="00114D48">
        <w:rPr>
          <w:rStyle w:val="tlid-translation"/>
          <w:rFonts w:asciiTheme="minorBidi" w:hAnsiTheme="minorBidi"/>
          <w:sz w:val="20"/>
          <w:szCs w:val="20"/>
        </w:rPr>
        <w:t xml:space="preserve"> +/- </w:t>
      </w:r>
      <w:proofErr w:type="spellStart"/>
      <w:r w:rsidR="00114D48">
        <w:rPr>
          <w:rStyle w:val="tlid-translation"/>
          <w:rFonts w:asciiTheme="minorBidi" w:hAnsiTheme="minorBidi"/>
          <w:sz w:val="20"/>
          <w:szCs w:val="20"/>
        </w:rPr>
        <w:t>macrocytose</w:t>
      </w:r>
      <w:proofErr w:type="spellEnd"/>
      <w:r w:rsidR="00114D48">
        <w:rPr>
          <w:rStyle w:val="tlid-translation"/>
          <w:rFonts w:asciiTheme="minorBidi" w:hAnsiTheme="minorBidi"/>
          <w:sz w:val="20"/>
          <w:szCs w:val="20"/>
        </w:rPr>
        <w:t>.</w:t>
      </w:r>
    </w:p>
    <w:p w:rsidR="00114D48" w:rsidRDefault="00114D48" w:rsidP="00114D48">
      <w:pPr>
        <w:rPr>
          <w:rStyle w:val="tlid-translation"/>
          <w:rFonts w:asciiTheme="minorBidi" w:hAnsiTheme="minorBidi"/>
          <w:sz w:val="20"/>
          <w:szCs w:val="20"/>
        </w:rPr>
      </w:pPr>
      <w:r>
        <w:rPr>
          <w:rStyle w:val="tlid-translation"/>
          <w:rFonts w:asciiTheme="minorBidi" w:hAnsiTheme="minorBidi"/>
          <w:sz w:val="20"/>
          <w:szCs w:val="20"/>
        </w:rPr>
        <w:t xml:space="preserve">L’anémie était régénérative et le nourrisson  a bénéficié d’une  transfusion de culot </w:t>
      </w:r>
      <w:proofErr w:type="spellStart"/>
      <w:r>
        <w:rPr>
          <w:rStyle w:val="tlid-translation"/>
          <w:rFonts w:asciiTheme="minorBidi" w:hAnsiTheme="minorBidi"/>
          <w:sz w:val="20"/>
          <w:szCs w:val="20"/>
        </w:rPr>
        <w:t>globulaire.</w:t>
      </w:r>
      <w:r w:rsidR="00013464">
        <w:rPr>
          <w:rStyle w:val="tlid-translation"/>
          <w:rFonts w:asciiTheme="minorBidi" w:hAnsiTheme="minorBidi"/>
          <w:sz w:val="20"/>
          <w:szCs w:val="20"/>
        </w:rPr>
        <w:t>le</w:t>
      </w:r>
      <w:proofErr w:type="spellEnd"/>
      <w:r w:rsidR="00013464">
        <w:rPr>
          <w:rStyle w:val="tlid-translation"/>
          <w:rFonts w:asciiTheme="minorBidi" w:hAnsiTheme="minorBidi"/>
          <w:sz w:val="20"/>
          <w:szCs w:val="20"/>
        </w:rPr>
        <w:t xml:space="preserve"> dosage vitaminique retrouve des taux bas de vitamine B12 le dosage des folates est sans particularités.</w:t>
      </w:r>
    </w:p>
    <w:p w:rsidR="005405D3" w:rsidRDefault="00114D48" w:rsidP="00114D48">
      <w:pPr>
        <w:rPr>
          <w:rStyle w:val="tlid-translation"/>
          <w:rFonts w:asciiTheme="minorBidi" w:hAnsiTheme="minorBidi"/>
          <w:sz w:val="20"/>
          <w:szCs w:val="20"/>
        </w:rPr>
      </w:pPr>
      <w:r>
        <w:rPr>
          <w:rStyle w:val="tlid-translation"/>
          <w:rFonts w:asciiTheme="minorBidi" w:hAnsiTheme="minorBidi"/>
          <w:sz w:val="20"/>
          <w:szCs w:val="20"/>
        </w:rPr>
        <w:t xml:space="preserve">Le dosage des hormones thyroïdiennes avait retrouvé une TSH  et T3 T4 effondrées, concluant à une hypothyroïdie centrale. </w:t>
      </w:r>
    </w:p>
    <w:p w:rsidR="00114D48" w:rsidRDefault="00114D48" w:rsidP="00114D48">
      <w:pPr>
        <w:rPr>
          <w:rStyle w:val="tlid-translation"/>
          <w:rFonts w:asciiTheme="minorBidi" w:hAnsiTheme="minorBidi"/>
          <w:sz w:val="20"/>
          <w:szCs w:val="20"/>
        </w:rPr>
      </w:pPr>
      <w:r>
        <w:rPr>
          <w:rStyle w:val="tlid-translation"/>
          <w:rFonts w:asciiTheme="minorBidi" w:hAnsiTheme="minorBidi"/>
          <w:sz w:val="20"/>
          <w:szCs w:val="20"/>
        </w:rPr>
        <w:t>L’évolution a été spectaculaire sous substituions en vitamine B12 et en hormones thyroïdiennes.</w:t>
      </w:r>
    </w:p>
    <w:p w:rsidR="00114D48" w:rsidRDefault="00114D48" w:rsidP="00114D48">
      <w:pPr>
        <w:rPr>
          <w:rStyle w:val="tlid-translation"/>
          <w:rFonts w:asciiTheme="minorBidi" w:hAnsiTheme="minorBidi"/>
          <w:b/>
          <w:bCs/>
          <w:sz w:val="20"/>
          <w:szCs w:val="20"/>
        </w:rPr>
      </w:pPr>
      <w:r w:rsidRPr="00114D48">
        <w:rPr>
          <w:rStyle w:val="tlid-translation"/>
          <w:rFonts w:asciiTheme="minorBidi" w:hAnsiTheme="minorBidi"/>
          <w:b/>
          <w:bCs/>
          <w:sz w:val="20"/>
          <w:szCs w:val="20"/>
        </w:rPr>
        <w:t xml:space="preserve">Conclusion </w:t>
      </w:r>
    </w:p>
    <w:p w:rsidR="006926F7" w:rsidRDefault="006926F7" w:rsidP="006926F7">
      <w:pPr>
        <w:rPr>
          <w:rStyle w:val="tlid-translation"/>
        </w:rPr>
      </w:pPr>
      <w:r>
        <w:rPr>
          <w:rStyle w:val="tlid-translation"/>
        </w:rPr>
        <w:t xml:space="preserve">L’anémie chez les patients atteints de  dysfonctionnement thyroïdien est fréquente, mais souvent méconnue, et peut être concomitante. Certains  auteurs recommandent le dépistage de la carence en vitamine B12 et des folates,  lors du diagnostic initial d’une anémie associée à une pathologie thyroïdienne. </w:t>
      </w:r>
    </w:p>
    <w:p w:rsidR="007F354D" w:rsidRDefault="007F354D" w:rsidP="006926F7">
      <w:pPr>
        <w:rPr>
          <w:rStyle w:val="tlid-translation"/>
        </w:rPr>
      </w:pPr>
    </w:p>
    <w:p w:rsidR="007F354D" w:rsidRDefault="007F354D" w:rsidP="006926F7">
      <w:pPr>
        <w:rPr>
          <w:rStyle w:val="tlid-translation"/>
        </w:rPr>
      </w:pPr>
    </w:p>
    <w:p w:rsidR="007F354D" w:rsidRDefault="007F354D" w:rsidP="006926F7">
      <w:pPr>
        <w:rPr>
          <w:rStyle w:val="tlid-translation"/>
        </w:rPr>
      </w:pPr>
    </w:p>
    <w:p w:rsidR="007F354D" w:rsidRDefault="007F354D" w:rsidP="006926F7">
      <w:pPr>
        <w:rPr>
          <w:rStyle w:val="tlid-translation"/>
        </w:rPr>
      </w:pPr>
      <w:proofErr w:type="spellStart"/>
      <w:r>
        <w:rPr>
          <w:rStyle w:val="tlid-translation"/>
        </w:rPr>
        <w:t>Resume</w:t>
      </w:r>
      <w:proofErr w:type="spellEnd"/>
      <w:r>
        <w:rPr>
          <w:rStyle w:val="tlid-translation"/>
        </w:rPr>
        <w:t xml:space="preserve"> </w:t>
      </w:r>
      <w:proofErr w:type="spellStart"/>
      <w:r>
        <w:rPr>
          <w:rStyle w:val="tlid-translation"/>
        </w:rPr>
        <w:t>envoyè</w:t>
      </w:r>
      <w:proofErr w:type="spellEnd"/>
      <w:r>
        <w:rPr>
          <w:rStyle w:val="tlid-translation"/>
        </w:rPr>
        <w:t xml:space="preserve"> à la SFP</w:t>
      </w:r>
      <w:bookmarkStart w:id="0" w:name="_GoBack"/>
      <w:bookmarkEnd w:id="0"/>
    </w:p>
    <w:p w:rsidR="006926F7" w:rsidRDefault="007F354D" w:rsidP="006926F7">
      <w:pPr>
        <w:rPr>
          <w:rStyle w:val="tlid-translation"/>
        </w:rPr>
      </w:pPr>
      <w:r>
        <w:t>Objectifs : Bien que l’anémie soit fréquente chez les adultes atteints d'hypothyroïdie, il existe peu d’études sur  l’association  anémie et hypothyroïdie congénitale chez les nourrissons.</w:t>
      </w:r>
      <w:r>
        <w:br/>
        <w:t>Matériel et méthodes </w:t>
      </w:r>
      <w:r>
        <w:br/>
        <w:t>Nourrisson de 8mois adressé pour exploration et prise en charge d’un retard psychomoteur et d'un retard staturo-pondéral  avec suspicion d’hypothyroïdie.</w:t>
      </w:r>
      <w:r>
        <w:br/>
        <w:t>Résultats </w:t>
      </w:r>
      <w:r>
        <w:br/>
        <w:t xml:space="preserve">L’examen à son admission retrouve un retard staturo-pondéral, une dysmorphie faciale, un retard psychomoteur, une apathie totale à l’examen avec pâleur cutanéomuqueuse intense sans syndrome hémorragique ni hépatosplénomégalie. Une numération formule sanguine retrouve une bi cytopénie. L’anémie était régénérative et le nourrisson  a bénéficié d’une  transfusion de culot </w:t>
      </w:r>
      <w:proofErr w:type="spellStart"/>
      <w:r>
        <w:t>globulaire.Le</w:t>
      </w:r>
      <w:proofErr w:type="spellEnd"/>
      <w:r>
        <w:t xml:space="preserve"> dosage vitaminique retrouve des taux bas de vitamine B12 le dosage des folates est sans particularités.il existait en outre une </w:t>
      </w:r>
      <w:proofErr w:type="spellStart"/>
      <w:r>
        <w:t>hypothyroidie</w:t>
      </w:r>
      <w:proofErr w:type="spellEnd"/>
      <w:r>
        <w:t xml:space="preserve"> d'origine centrale.</w:t>
      </w:r>
      <w:r>
        <w:br/>
        <w:t>Conclusion</w:t>
      </w:r>
      <w:r>
        <w:br/>
        <w:t>L’anémie chez les patients atteints de  dysfonctionnement thyroïdien est fréquente, mais souvent méconnue, et peut être concomitante. Certains  auteurs recommandent le dépistage de la carence en vitamine B12 et des folates,  lors du diagnostic initial d’une anémie associée à une pathologie thyroïdienne</w:t>
      </w:r>
    </w:p>
    <w:p w:rsidR="007369CB" w:rsidRPr="005405D3" w:rsidRDefault="005405D3" w:rsidP="005405D3">
      <w:pPr>
        <w:rPr>
          <w:rStyle w:val="tlid-translation"/>
          <w:rFonts w:asciiTheme="minorBidi" w:hAnsiTheme="minorBidi"/>
          <w:sz w:val="20"/>
          <w:szCs w:val="20"/>
        </w:rPr>
      </w:pPr>
      <w:r w:rsidRPr="005405D3">
        <w:rPr>
          <w:rStyle w:val="tlid-translation"/>
          <w:rFonts w:asciiTheme="minorBidi" w:hAnsiTheme="minorBidi"/>
          <w:b/>
          <w:bCs/>
          <w:sz w:val="20"/>
          <w:szCs w:val="20"/>
        </w:rPr>
        <w:br/>
      </w:r>
      <w:r w:rsidRPr="005405D3">
        <w:rPr>
          <w:rStyle w:val="tlid-translation"/>
          <w:rFonts w:asciiTheme="minorBidi" w:hAnsiTheme="minorBidi"/>
          <w:sz w:val="20"/>
          <w:szCs w:val="20"/>
        </w:rPr>
        <w:t xml:space="preserve">  </w:t>
      </w:r>
    </w:p>
    <w:p w:rsidR="007369CB" w:rsidRDefault="007369CB" w:rsidP="007369CB">
      <w:pPr>
        <w:rPr>
          <w:rStyle w:val="tlid-translation"/>
        </w:rPr>
      </w:pPr>
    </w:p>
    <w:p w:rsidR="00897369" w:rsidRPr="007369CB" w:rsidRDefault="00897369" w:rsidP="007369CB">
      <w:pPr>
        <w:rPr>
          <w:rFonts w:asciiTheme="minorBidi" w:hAnsiTheme="minorBidi"/>
        </w:rPr>
      </w:pPr>
    </w:p>
    <w:sectPr w:rsidR="00897369" w:rsidRPr="007369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9CB"/>
    <w:rsid w:val="00013464"/>
    <w:rsid w:val="00114D48"/>
    <w:rsid w:val="005405D3"/>
    <w:rsid w:val="006926F7"/>
    <w:rsid w:val="00726656"/>
    <w:rsid w:val="007369CB"/>
    <w:rsid w:val="007F354D"/>
    <w:rsid w:val="00897369"/>
    <w:rsid w:val="00C8175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24E919-87EB-4812-8DB9-4A4EA78B0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lid-translation">
    <w:name w:val="tlid-translation"/>
    <w:basedOn w:val="Policepardfaut"/>
    <w:rsid w:val="00736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469</Words>
  <Characters>2585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Invité</dc:creator>
  <cp:keywords/>
  <dc:description/>
  <cp:lastModifiedBy>Invité</cp:lastModifiedBy>
  <cp:revision>5</cp:revision>
  <dcterms:created xsi:type="dcterms:W3CDTF">2019-01-26T13:36:00Z</dcterms:created>
  <dcterms:modified xsi:type="dcterms:W3CDTF">2019-01-26T15:44:00Z</dcterms:modified>
</cp:coreProperties>
</file>