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772" w:rsidRPr="00E60DD3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E60DD3">
        <w:rPr>
          <w:rFonts w:asciiTheme="majorBidi" w:hAnsiTheme="majorBidi" w:cstheme="majorBidi"/>
          <w:sz w:val="28"/>
          <w:szCs w:val="28"/>
        </w:rPr>
        <w:t>Dipeptidyl</w:t>
      </w:r>
      <w:proofErr w:type="spellEnd"/>
      <w:r w:rsidRPr="00E60DD3">
        <w:rPr>
          <w:rFonts w:asciiTheme="majorBidi" w:hAnsiTheme="majorBidi" w:cstheme="majorBidi"/>
          <w:sz w:val="28"/>
          <w:szCs w:val="28"/>
        </w:rPr>
        <w:t xml:space="preserve"> Peptidase IV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E60DD3">
        <w:rPr>
          <w:rFonts w:asciiTheme="majorBidi" w:hAnsiTheme="majorBidi" w:cstheme="majorBidi"/>
          <w:sz w:val="28"/>
          <w:szCs w:val="28"/>
        </w:rPr>
        <w:t xml:space="preserve">A </w:t>
      </w:r>
      <w:r>
        <w:rPr>
          <w:rFonts w:asciiTheme="majorBidi" w:hAnsiTheme="majorBidi" w:cstheme="majorBidi"/>
          <w:sz w:val="28"/>
          <w:szCs w:val="28"/>
        </w:rPr>
        <w:t>Target for Improving M</w:t>
      </w:r>
      <w:r w:rsidRPr="00E60DD3">
        <w:rPr>
          <w:rFonts w:asciiTheme="majorBidi" w:hAnsiTheme="majorBidi" w:cstheme="majorBidi"/>
          <w:sz w:val="28"/>
          <w:szCs w:val="28"/>
        </w:rPr>
        <w:t xml:space="preserve">etabolic </w:t>
      </w:r>
      <w:r>
        <w:rPr>
          <w:rFonts w:asciiTheme="majorBidi" w:hAnsiTheme="majorBidi" w:cstheme="majorBidi"/>
          <w:sz w:val="28"/>
          <w:szCs w:val="28"/>
        </w:rPr>
        <w:t>S</w:t>
      </w:r>
      <w:r w:rsidRPr="00E60DD3">
        <w:rPr>
          <w:rFonts w:asciiTheme="majorBidi" w:hAnsiTheme="majorBidi" w:cstheme="majorBidi"/>
          <w:sz w:val="28"/>
          <w:szCs w:val="28"/>
        </w:rPr>
        <w:t>yndrome</w:t>
      </w:r>
      <w:r>
        <w:rPr>
          <w:rFonts w:asciiTheme="majorBidi" w:hAnsiTheme="majorBidi" w:cstheme="majorBidi"/>
          <w:sz w:val="28"/>
          <w:szCs w:val="28"/>
        </w:rPr>
        <w:t xml:space="preserve"> Components</w:t>
      </w:r>
      <w:r w:rsidRPr="00E60DD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in Obese</w:t>
      </w:r>
      <w:r w:rsidRPr="00E60DD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C</w:t>
      </w:r>
      <w:r w:rsidRPr="00E60DD3">
        <w:rPr>
          <w:rFonts w:asciiTheme="majorBidi" w:hAnsiTheme="majorBidi" w:cstheme="majorBidi"/>
          <w:sz w:val="28"/>
          <w:szCs w:val="28"/>
        </w:rPr>
        <w:t>hild</w:t>
      </w:r>
      <w:r>
        <w:rPr>
          <w:rFonts w:asciiTheme="majorBidi" w:hAnsiTheme="majorBidi" w:cstheme="majorBidi"/>
          <w:sz w:val="28"/>
          <w:szCs w:val="28"/>
        </w:rPr>
        <w:t xml:space="preserve">ren </w:t>
      </w:r>
      <w:r w:rsidRPr="00E60DD3">
        <w:rPr>
          <w:rFonts w:asciiTheme="majorBidi" w:hAnsiTheme="majorBidi" w:cstheme="majorBidi"/>
          <w:sz w:val="28"/>
          <w:szCs w:val="28"/>
        </w:rPr>
        <w:t xml:space="preserve">and </w:t>
      </w:r>
      <w:r>
        <w:rPr>
          <w:rFonts w:asciiTheme="majorBidi" w:hAnsiTheme="majorBidi" w:cstheme="majorBidi"/>
          <w:sz w:val="28"/>
          <w:szCs w:val="28"/>
        </w:rPr>
        <w:t>A</w:t>
      </w:r>
      <w:r w:rsidRPr="00E60DD3">
        <w:rPr>
          <w:rFonts w:asciiTheme="majorBidi" w:hAnsiTheme="majorBidi" w:cstheme="majorBidi"/>
          <w:sz w:val="28"/>
          <w:szCs w:val="28"/>
        </w:rPr>
        <w:t>dolescent</w:t>
      </w:r>
      <w:r>
        <w:rPr>
          <w:rFonts w:asciiTheme="majorBidi" w:hAnsiTheme="majorBidi" w:cstheme="majorBidi"/>
          <w:sz w:val="28"/>
          <w:szCs w:val="28"/>
        </w:rPr>
        <w:t>s</w:t>
      </w:r>
      <w:r w:rsidRPr="00E60DD3">
        <w:rPr>
          <w:rFonts w:asciiTheme="majorBidi" w:hAnsiTheme="majorBidi" w:cstheme="majorBidi"/>
          <w:sz w:val="28"/>
          <w:szCs w:val="28"/>
        </w:rPr>
        <w:t xml:space="preserve"> </w:t>
      </w:r>
    </w:p>
    <w:p w:rsidR="00A93772" w:rsidRPr="00732BE0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rPr>
          <w:rFonts w:asciiTheme="majorBidi" w:hAnsiTheme="majorBidi" w:cstheme="majorBidi"/>
        </w:rPr>
      </w:pPr>
    </w:p>
    <w:p w:rsidR="00A93772" w:rsidRDefault="00A93772" w:rsidP="00A9377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>1</w:t>
      </w:r>
      <w:r w:rsidRPr="006E43DF">
        <w:rPr>
          <w:rFonts w:asciiTheme="majorBidi" w:eastAsia="Calibri" w:hAnsiTheme="majorBidi" w:cstheme="majorBidi"/>
          <w:sz w:val="24"/>
          <w:szCs w:val="24"/>
        </w:rPr>
        <w:t>Inas R. E</w:t>
      </w:r>
      <w:r>
        <w:rPr>
          <w:rFonts w:asciiTheme="majorBidi" w:eastAsia="Calibri" w:hAnsiTheme="majorBidi" w:cstheme="majorBidi"/>
          <w:sz w:val="24"/>
          <w:szCs w:val="24"/>
        </w:rPr>
        <w:t>l</w:t>
      </w:r>
      <w:r w:rsidRPr="006E43DF">
        <w:rPr>
          <w:rFonts w:asciiTheme="majorBidi" w:eastAsia="Calibri" w:hAnsiTheme="majorBidi" w:cstheme="majorBidi"/>
          <w:sz w:val="24"/>
          <w:szCs w:val="24"/>
        </w:rPr>
        <w:t xml:space="preserve">- </w:t>
      </w:r>
      <w:proofErr w:type="spellStart"/>
      <w:r w:rsidRPr="006E43DF">
        <w:rPr>
          <w:rFonts w:asciiTheme="majorBidi" w:eastAsia="Calibri" w:hAnsiTheme="majorBidi" w:cstheme="majorBidi"/>
          <w:sz w:val="24"/>
          <w:szCs w:val="24"/>
        </w:rPr>
        <w:t>Alameey</w:t>
      </w:r>
      <w:proofErr w:type="spellEnd"/>
      <w:r w:rsidRPr="006E43DF">
        <w:rPr>
          <w:rFonts w:asciiTheme="majorBidi" w:eastAsia="Calibri" w:hAnsiTheme="majorBidi" w:cstheme="majorBidi"/>
          <w:sz w:val="24"/>
          <w:szCs w:val="24"/>
        </w:rPr>
        <w:t xml:space="preserve">, </w:t>
      </w:r>
      <w:r>
        <w:rPr>
          <w:rFonts w:asciiTheme="majorBidi" w:eastAsia="Calibri" w:hAnsiTheme="majorBidi" w:cstheme="majorBidi"/>
          <w:sz w:val="24"/>
          <w:szCs w:val="24"/>
        </w:rPr>
        <w:t>2</w:t>
      </w:r>
      <w:r w:rsidRPr="006E43DF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Hanaa </w:t>
      </w:r>
      <w:r w:rsidRPr="006E43DF">
        <w:rPr>
          <w:rFonts w:asciiTheme="majorBidi" w:eastAsia="Calibri" w:hAnsiTheme="majorBidi" w:cstheme="majorBidi"/>
          <w:sz w:val="24"/>
          <w:szCs w:val="24"/>
        </w:rPr>
        <w:t>H. Ahmed,</w:t>
      </w:r>
      <w:r>
        <w:rPr>
          <w:rFonts w:asciiTheme="majorBidi" w:eastAsia="Calibri" w:hAnsiTheme="majorBidi" w:cstheme="majorBidi"/>
          <w:sz w:val="24"/>
          <w:szCs w:val="24"/>
        </w:rPr>
        <w:t xml:space="preserve"> 1Mones M.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Abushady</w:t>
      </w:r>
      <w:proofErr w:type="spellEnd"/>
    </w:p>
    <w:p w:rsidR="00A93772" w:rsidRDefault="00A93772" w:rsidP="00A9377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A93772" w:rsidRPr="00AC0A8D" w:rsidRDefault="00A93772" w:rsidP="00A93772">
      <w:pPr>
        <w:pStyle w:val="Default"/>
        <w:ind w:left="-630" w:right="-720"/>
        <w:rPr>
          <w:rFonts w:ascii="Cambria" w:hAnsi="Cambria" w:cs="Cambria"/>
          <w:b/>
          <w:bCs/>
          <w:color w:val="221E1F"/>
          <w:sz w:val="18"/>
          <w:szCs w:val="18"/>
        </w:rPr>
      </w:pPr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 xml:space="preserve">1Child Health Department, Medical </w:t>
      </w:r>
      <w:proofErr w:type="spellStart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division</w:t>
      </w:r>
      <w:proofErr w:type="gramStart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,National</w:t>
      </w:r>
      <w:proofErr w:type="spellEnd"/>
      <w:proofErr w:type="gramEnd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 xml:space="preserve"> Research Centre, Egypt. </w:t>
      </w:r>
      <w:proofErr w:type="gramStart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2 Hormones department, Medical division, National Research Centre, Egypt.</w:t>
      </w:r>
      <w:proofErr w:type="gramEnd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 xml:space="preserve"> Corresponding author: </w:t>
      </w:r>
      <w:proofErr w:type="spellStart"/>
      <w:r w:rsidRPr="00AC0A8D">
        <w:rPr>
          <w:rFonts w:asciiTheme="majorBidi" w:hAnsiTheme="majorBidi" w:cstheme="majorBidi"/>
          <w:sz w:val="18"/>
          <w:szCs w:val="18"/>
        </w:rPr>
        <w:t>Inas</w:t>
      </w:r>
      <w:proofErr w:type="spellEnd"/>
      <w:r w:rsidRPr="00AC0A8D">
        <w:rPr>
          <w:rFonts w:asciiTheme="majorBidi" w:hAnsiTheme="majorBidi" w:cstheme="majorBidi"/>
          <w:sz w:val="18"/>
          <w:szCs w:val="18"/>
        </w:rPr>
        <w:t xml:space="preserve"> R. El-Alameey</w:t>
      </w:r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1</w:t>
      </w:r>
      <w:proofErr w:type="gramStart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 xml:space="preserve">* </w:t>
      </w:r>
      <w:r w:rsidRPr="00AC0A8D">
        <w:rPr>
          <w:rFonts w:ascii="Cambria" w:hAnsi="Cambria" w:cs="Cambria"/>
          <w:sz w:val="18"/>
          <w:szCs w:val="18"/>
        </w:rPr>
        <w:t xml:space="preserve"> </w:t>
      </w:r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Email</w:t>
      </w:r>
      <w:proofErr w:type="gramEnd"/>
      <w:r w:rsidRPr="00AC0A8D">
        <w:rPr>
          <w:rFonts w:ascii="Cambria" w:hAnsi="Cambria" w:cs="Cambria"/>
          <w:b/>
          <w:bCs/>
          <w:color w:val="221E1F"/>
          <w:sz w:val="18"/>
          <w:szCs w:val="18"/>
        </w:rPr>
        <w:t>: inasno@hotmail.com</w:t>
      </w:r>
    </w:p>
    <w:p w:rsidR="00A93772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</w:rPr>
      </w:pPr>
    </w:p>
    <w:p w:rsidR="00A93772" w:rsidRPr="00842580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center"/>
        <w:rPr>
          <w:rFonts w:asciiTheme="majorBidi" w:hAnsiTheme="majorBidi" w:cstheme="majorBidi"/>
          <w:sz w:val="24"/>
          <w:szCs w:val="24"/>
        </w:rPr>
      </w:pPr>
      <w:r w:rsidRPr="00842580">
        <w:rPr>
          <w:rFonts w:asciiTheme="majorBidi" w:hAnsiTheme="majorBidi" w:cstheme="majorBidi"/>
          <w:sz w:val="24"/>
          <w:szCs w:val="24"/>
        </w:rPr>
        <w:t>Abstract</w:t>
      </w:r>
    </w:p>
    <w:p w:rsidR="00A93772" w:rsidRPr="00842580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A93772" w:rsidRPr="00861F3D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  <w:r w:rsidRPr="00861F3D">
        <w:rPr>
          <w:rFonts w:asciiTheme="majorBidi" w:hAnsiTheme="majorBidi" w:cstheme="majorBidi"/>
          <w:sz w:val="24"/>
          <w:szCs w:val="24"/>
        </w:rPr>
        <w:t>Background/Aim:</w:t>
      </w:r>
      <w:r w:rsidRPr="00861F3D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861F3D">
        <w:rPr>
          <w:rFonts w:asciiTheme="majorBidi" w:hAnsiTheme="majorBidi" w:cstheme="majorBidi"/>
          <w:sz w:val="24"/>
          <w:szCs w:val="24"/>
        </w:rPr>
        <w:t>Dipeptidyl</w:t>
      </w:r>
      <w:proofErr w:type="spellEnd"/>
      <w:r w:rsidRPr="00861F3D">
        <w:rPr>
          <w:rFonts w:asciiTheme="majorBidi" w:hAnsiTheme="majorBidi" w:cstheme="majorBidi"/>
          <w:sz w:val="24"/>
          <w:szCs w:val="24"/>
        </w:rPr>
        <w:t xml:space="preserve"> peptidase-IV (DPP-IV) is a circulating glycoprotein that impairs insulin-stimulated glucose uptake and is linked to obesity and metabolic syndrome. However, the influence of exercise and nutritional regimen on serum DPP-IV in children and adolescents with metabolic syndrome is still unknown. Therefore, the purpose of this study was to evaluate serum DPP-IV activity in obese children and adolescents with and without metabolic syndrome, and to assess the impact of exercise, and nutritional regimen on serum DPP-IV activity, metabolic syndrome components, and insulin resistance issue in obese children and adolescents.</w:t>
      </w:r>
    </w:p>
    <w:p w:rsidR="00A93772" w:rsidRPr="00861F3D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A93772" w:rsidRPr="00861F3D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  <w:r w:rsidRPr="00861F3D">
        <w:rPr>
          <w:rFonts w:asciiTheme="majorBidi" w:hAnsiTheme="majorBidi" w:cstheme="majorBidi"/>
          <w:sz w:val="24"/>
          <w:szCs w:val="24"/>
        </w:rPr>
        <w:t>Materials and Methods: This study included 80 Egyptian individuals; 40 obese subjects (group Ι), and 40 healthy non-obese subjects (group ΙΙ) with matched age and sex matched. Serum DPP-IV activity, lipid panel, glucose, insulin levels were quantified.</w:t>
      </w:r>
    </w:p>
    <w:p w:rsidR="00A93772" w:rsidRPr="00861F3D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</w:p>
    <w:p w:rsidR="00A93772" w:rsidRPr="00861F3D" w:rsidRDefault="00A93772" w:rsidP="00A93772">
      <w:pPr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  <w:r w:rsidRPr="00861F3D">
        <w:rPr>
          <w:rFonts w:asciiTheme="majorBidi" w:hAnsiTheme="majorBidi" w:cstheme="majorBidi"/>
          <w:sz w:val="24"/>
          <w:szCs w:val="24"/>
        </w:rPr>
        <w:t>Results: Serum DPP-IV enzyme activity of obese patients with MS revealed significant elevation than those who did not have MS, and control counterparts (</w:t>
      </w:r>
      <w:r w:rsidRPr="00861F3D">
        <w:rPr>
          <w:rFonts w:asciiTheme="majorBidi" w:hAnsiTheme="majorBidi" w:cstheme="majorBidi"/>
          <w:i/>
          <w:iCs/>
          <w:sz w:val="24"/>
          <w:szCs w:val="24"/>
        </w:rPr>
        <w:t xml:space="preserve">P </w:t>
      </w:r>
      <w:r w:rsidRPr="00861F3D">
        <w:rPr>
          <w:rFonts w:asciiTheme="majorBidi" w:hAnsiTheme="majorBidi" w:cstheme="majorBidi"/>
          <w:sz w:val="24"/>
          <w:szCs w:val="24"/>
        </w:rPr>
        <w:t>&lt; 0.001). The serum DPP-IV enzyme activity, lipid panel, and HOMA-IR were significantly suppressed after weight loss due to exercise and nutritional regimen. In obese patients at baseline, serum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 DPP-IV enzyme activity displayed positively correlated with </w:t>
      </w:r>
      <w:r w:rsidRPr="00861F3D">
        <w:rPr>
          <w:rFonts w:asciiTheme="majorBidi" w:hAnsiTheme="majorBidi" w:cstheme="majorBidi"/>
          <w:sz w:val="24"/>
          <w:szCs w:val="24"/>
        </w:rPr>
        <w:t xml:space="preserve">BMI for age percentile, and </w:t>
      </w:r>
      <w:r w:rsidRPr="00861F3D">
        <w:rPr>
          <w:rFonts w:asciiTheme="majorBidi" w:hAnsiTheme="majorBidi" w:cstheme="majorBidi"/>
          <w:i/>
          <w:iCs/>
          <w:sz w:val="24"/>
          <w:szCs w:val="24"/>
        </w:rPr>
        <w:t>z</w:t>
      </w:r>
      <w:r w:rsidRPr="00861F3D">
        <w:rPr>
          <w:rFonts w:asciiTheme="majorBidi" w:hAnsiTheme="majorBidi" w:cstheme="majorBidi"/>
          <w:sz w:val="24"/>
          <w:szCs w:val="24"/>
        </w:rPr>
        <w:t>-score, waist: hip ratio, body adiposity index and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 serum </w:t>
      </w:r>
      <w:r w:rsidRPr="00861F3D">
        <w:rPr>
          <w:rFonts w:asciiTheme="majorBidi" w:hAnsiTheme="majorBidi" w:cstheme="majorBidi"/>
          <w:sz w:val="24"/>
          <w:szCs w:val="24"/>
        </w:rPr>
        <w:t xml:space="preserve">levels of triglycerides, and 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>HOMA-IR.</w:t>
      </w:r>
      <w:r w:rsidRPr="00861F3D">
        <w:rPr>
          <w:rFonts w:asciiTheme="majorBidi" w:hAnsiTheme="majorBidi" w:cstheme="majorBidi"/>
          <w:sz w:val="24"/>
          <w:szCs w:val="24"/>
        </w:rPr>
        <w:t xml:space="preserve"> High BMI </w:t>
      </w:r>
      <w:r w:rsidRPr="00861F3D">
        <w:rPr>
          <w:rFonts w:asciiTheme="majorBidi" w:hAnsiTheme="majorBidi" w:cstheme="majorBidi"/>
          <w:i/>
          <w:iCs/>
          <w:sz w:val="24"/>
          <w:szCs w:val="24"/>
        </w:rPr>
        <w:t>z</w:t>
      </w:r>
      <w:r w:rsidRPr="00861F3D">
        <w:rPr>
          <w:rFonts w:asciiTheme="majorBidi" w:hAnsiTheme="majorBidi" w:cstheme="majorBidi"/>
          <w:sz w:val="24"/>
          <w:szCs w:val="24"/>
        </w:rPr>
        <w:t xml:space="preserve">-score, waist: hip ratio, body adiposity index, and 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serum </w:t>
      </w:r>
      <w:r w:rsidRPr="00861F3D">
        <w:rPr>
          <w:rFonts w:asciiTheme="majorBidi" w:hAnsiTheme="majorBidi" w:cstheme="majorBidi"/>
          <w:sz w:val="24"/>
          <w:szCs w:val="24"/>
        </w:rPr>
        <w:t xml:space="preserve">triglycerides are the main actors in stimulating 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DPP-IV enzyme activity </w:t>
      </w:r>
      <w:r w:rsidRPr="00861F3D">
        <w:rPr>
          <w:rFonts w:asciiTheme="majorBidi" w:hAnsiTheme="majorBidi" w:cstheme="majorBidi"/>
          <w:sz w:val="24"/>
          <w:szCs w:val="24"/>
        </w:rPr>
        <w:t>in obese patients by linear regression analysis.</w:t>
      </w:r>
    </w:p>
    <w:p w:rsidR="00A93772" w:rsidRPr="00861F3D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</w:p>
    <w:p w:rsidR="00A93772" w:rsidRPr="00842580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jc w:val="both"/>
        <w:rPr>
          <w:rFonts w:asciiTheme="majorBidi" w:hAnsiTheme="majorBidi" w:cstheme="majorBidi"/>
          <w:sz w:val="24"/>
          <w:szCs w:val="24"/>
        </w:rPr>
      </w:pPr>
      <w:r w:rsidRPr="00861F3D">
        <w:rPr>
          <w:rFonts w:asciiTheme="majorBidi" w:hAnsiTheme="majorBidi" w:cstheme="majorBidi"/>
          <w:sz w:val="24"/>
          <w:szCs w:val="24"/>
        </w:rPr>
        <w:t xml:space="preserve">Conclusion: </w:t>
      </w:r>
      <w:r w:rsidRPr="00861F3D">
        <w:rPr>
          <w:rFonts w:ascii="Times New Roman" w:hAnsi="Times New Roman" w:cs="Times New Roman"/>
          <w:sz w:val="24"/>
          <w:szCs w:val="24"/>
        </w:rPr>
        <w:t xml:space="preserve">The decreased DPP-IV </w:t>
      </w:r>
      <w:r w:rsidRPr="00861F3D">
        <w:rPr>
          <w:rFonts w:asciiTheme="majorBidi" w:hAnsiTheme="majorBidi" w:cstheme="majorBidi"/>
          <w:sz w:val="24"/>
          <w:szCs w:val="24"/>
        </w:rPr>
        <w:t xml:space="preserve">enzyme activity </w:t>
      </w:r>
      <w:r w:rsidRPr="00861F3D">
        <w:rPr>
          <w:rFonts w:ascii="Times New Roman" w:hAnsi="Times New Roman" w:cs="Times New Roman"/>
          <w:sz w:val="24"/>
          <w:szCs w:val="24"/>
        </w:rPr>
        <w:t xml:space="preserve">after weight loss is paralleled by a significant modulation of HOMA-IR. </w:t>
      </w:r>
      <w:r w:rsidRPr="00861F3D">
        <w:rPr>
          <w:rFonts w:asciiTheme="majorBidi" w:hAnsiTheme="majorBidi" w:cstheme="majorBidi"/>
          <w:sz w:val="24"/>
          <w:szCs w:val="24"/>
        </w:rPr>
        <w:t xml:space="preserve">BMI </w:t>
      </w:r>
      <w:r w:rsidRPr="00861F3D">
        <w:rPr>
          <w:rFonts w:asciiTheme="majorBidi" w:hAnsiTheme="majorBidi" w:cstheme="majorBidi"/>
          <w:i/>
          <w:iCs/>
          <w:sz w:val="24"/>
          <w:szCs w:val="24"/>
        </w:rPr>
        <w:t>z</w:t>
      </w:r>
      <w:r w:rsidRPr="00861F3D">
        <w:rPr>
          <w:rFonts w:asciiTheme="majorBidi" w:hAnsiTheme="majorBidi" w:cstheme="majorBidi"/>
          <w:sz w:val="24"/>
          <w:szCs w:val="24"/>
        </w:rPr>
        <w:t xml:space="preserve">-score, waist: hip ratio, body adiposity index, and 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serum </w:t>
      </w:r>
      <w:r w:rsidRPr="00861F3D">
        <w:rPr>
          <w:rFonts w:asciiTheme="majorBidi" w:hAnsiTheme="majorBidi" w:cstheme="majorBidi"/>
          <w:sz w:val="24"/>
          <w:szCs w:val="24"/>
        </w:rPr>
        <w:t xml:space="preserve">triglycerides are closely associated with to high serum </w:t>
      </w:r>
      <w:r w:rsidRPr="00861F3D">
        <w:rPr>
          <w:rFonts w:asciiTheme="majorBidi" w:eastAsia="MinionPro-Regular" w:hAnsiTheme="majorBidi" w:cstheme="majorBidi"/>
          <w:sz w:val="24"/>
          <w:szCs w:val="24"/>
        </w:rPr>
        <w:t xml:space="preserve">DPP-IV enzyme activity </w:t>
      </w:r>
      <w:r w:rsidRPr="00861F3D">
        <w:rPr>
          <w:rFonts w:asciiTheme="majorBidi" w:hAnsiTheme="majorBidi" w:cstheme="majorBidi"/>
          <w:sz w:val="24"/>
          <w:szCs w:val="24"/>
        </w:rPr>
        <w:t>in obese patients.</w:t>
      </w:r>
    </w:p>
    <w:p w:rsidR="00A93772" w:rsidRPr="00842580" w:rsidRDefault="00A93772" w:rsidP="00A93772">
      <w:pPr>
        <w:autoSpaceDE w:val="0"/>
        <w:autoSpaceDN w:val="0"/>
        <w:adjustRightInd w:val="0"/>
        <w:spacing w:after="0" w:line="240" w:lineRule="auto"/>
        <w:ind w:left="-540" w:right="-90" w:firstLine="540"/>
        <w:rPr>
          <w:rFonts w:asciiTheme="majorBidi" w:hAnsiTheme="majorBidi" w:cstheme="majorBidi"/>
          <w:sz w:val="24"/>
          <w:szCs w:val="24"/>
        </w:rPr>
      </w:pPr>
      <w:r w:rsidRPr="00842580">
        <w:rPr>
          <w:rFonts w:asciiTheme="majorBidi" w:hAnsiTheme="majorBidi" w:cstheme="majorBidi"/>
          <w:sz w:val="24"/>
          <w:szCs w:val="24"/>
        </w:rPr>
        <w:t xml:space="preserve">Keywords: </w:t>
      </w:r>
      <w:proofErr w:type="spellStart"/>
      <w:r w:rsidRPr="00842580">
        <w:rPr>
          <w:rFonts w:asciiTheme="majorBidi" w:hAnsiTheme="majorBidi" w:cstheme="majorBidi"/>
          <w:sz w:val="24"/>
          <w:szCs w:val="24"/>
        </w:rPr>
        <w:t>Dipeptidyl</w:t>
      </w:r>
      <w:proofErr w:type="spellEnd"/>
      <w:r w:rsidRPr="00842580">
        <w:rPr>
          <w:rFonts w:asciiTheme="majorBidi" w:hAnsiTheme="majorBidi" w:cstheme="majorBidi"/>
          <w:sz w:val="24"/>
          <w:szCs w:val="24"/>
        </w:rPr>
        <w:t xml:space="preserve"> Peptidase-IV, childhood, adolescent, obesity, metabolic syndrome.</w:t>
      </w:r>
    </w:p>
    <w:p w:rsidR="00A93772" w:rsidRPr="00842580" w:rsidRDefault="00A93772" w:rsidP="00A93772">
      <w:pPr>
        <w:spacing w:after="0" w:line="240" w:lineRule="auto"/>
        <w:ind w:left="-540" w:right="-90" w:firstLine="540"/>
        <w:rPr>
          <w:rFonts w:asciiTheme="majorBidi" w:hAnsiTheme="majorBidi" w:cstheme="majorBidi"/>
          <w:sz w:val="24"/>
          <w:szCs w:val="24"/>
        </w:rPr>
      </w:pPr>
    </w:p>
    <w:p w:rsidR="00A93772" w:rsidRDefault="00A93772" w:rsidP="00A93772">
      <w:pPr>
        <w:spacing w:after="0" w:line="240" w:lineRule="auto"/>
        <w:ind w:left="-540" w:right="-90" w:firstLine="540"/>
        <w:jc w:val="both"/>
        <w:rPr>
          <w:rFonts w:asciiTheme="majorBidi" w:hAnsiTheme="majorBidi" w:cstheme="majorBidi"/>
        </w:rPr>
      </w:pPr>
    </w:p>
    <w:p w:rsidR="00DC192A" w:rsidRDefault="00DC192A"/>
    <w:sectPr w:rsidR="00DC19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3772"/>
    <w:rsid w:val="00A93772"/>
    <w:rsid w:val="00DC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3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2019-02-11T01:49:00Z</dcterms:created>
  <dcterms:modified xsi:type="dcterms:W3CDTF">2019-02-11T01:49:00Z</dcterms:modified>
</cp:coreProperties>
</file>