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D80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SIGNIFICANCE OF </w:t>
      </w:r>
      <w:r w:rsidRPr="00CD76BE">
        <w:rPr>
          <w:rFonts w:asciiTheme="majorBidi" w:hAnsiTheme="majorBidi" w:cstheme="majorBidi"/>
          <w:b/>
          <w:bCs/>
        </w:rPr>
        <w:t>MYELOPEROXIDASE</w:t>
      </w:r>
      <w:r>
        <w:rPr>
          <w:rFonts w:asciiTheme="majorBidi" w:hAnsiTheme="majorBidi" w:cstheme="majorBidi"/>
          <w:b/>
          <w:bCs/>
        </w:rPr>
        <w:t xml:space="preserve"> IN THE ONSET OF </w:t>
      </w:r>
      <w:r w:rsidRPr="00CD76BE">
        <w:rPr>
          <w:rFonts w:asciiTheme="majorBidi" w:hAnsiTheme="majorBidi" w:cstheme="majorBidi"/>
          <w:b/>
          <w:bCs/>
        </w:rPr>
        <w:t xml:space="preserve">CARDIOVASCULAR DISEASE </w:t>
      </w:r>
      <w:r>
        <w:rPr>
          <w:rFonts w:asciiTheme="majorBidi" w:hAnsiTheme="majorBidi" w:cstheme="majorBidi"/>
          <w:b/>
          <w:bCs/>
        </w:rPr>
        <w:t>I</w:t>
      </w:r>
      <w:r w:rsidRPr="00CD76BE">
        <w:rPr>
          <w:rFonts w:asciiTheme="majorBidi" w:hAnsiTheme="majorBidi" w:cstheme="majorBidi"/>
          <w:b/>
          <w:bCs/>
        </w:rPr>
        <w:t xml:space="preserve">N </w:t>
      </w:r>
      <w:r>
        <w:rPr>
          <w:rFonts w:asciiTheme="majorBidi" w:hAnsiTheme="majorBidi" w:cstheme="majorBidi"/>
          <w:b/>
          <w:bCs/>
        </w:rPr>
        <w:t xml:space="preserve">OBESE </w:t>
      </w:r>
      <w:r w:rsidRPr="00CD76BE">
        <w:rPr>
          <w:rFonts w:asciiTheme="majorBidi" w:hAnsiTheme="majorBidi" w:cstheme="majorBidi"/>
          <w:b/>
          <w:bCs/>
        </w:rPr>
        <w:t>CHILDREN AND ADOLESCENTS</w:t>
      </w:r>
    </w:p>
    <w:p w:rsidR="00447D80" w:rsidRPr="00CD76BE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center"/>
        <w:rPr>
          <w:rFonts w:asciiTheme="majorBidi" w:hAnsiTheme="majorBidi" w:cstheme="majorBidi"/>
          <w:b/>
          <w:bCs/>
        </w:rPr>
      </w:pPr>
    </w:p>
    <w:p w:rsidR="00447D80" w:rsidRPr="00CD76BE" w:rsidRDefault="00447D80" w:rsidP="00447D80">
      <w:pPr>
        <w:spacing w:after="0" w:line="240" w:lineRule="auto"/>
        <w:ind w:left="-450" w:right="-540"/>
        <w:jc w:val="both"/>
        <w:rPr>
          <w:rFonts w:asciiTheme="majorBidi" w:eastAsia="Calibri" w:hAnsiTheme="majorBidi" w:cstheme="majorBidi"/>
        </w:rPr>
      </w:pPr>
    </w:p>
    <w:p w:rsidR="00447D80" w:rsidRPr="00CD76BE" w:rsidRDefault="00447D80" w:rsidP="00447D80">
      <w:pPr>
        <w:spacing w:after="0" w:line="240" w:lineRule="auto"/>
        <w:ind w:left="-450" w:right="-540"/>
        <w:jc w:val="both"/>
        <w:rPr>
          <w:rFonts w:asciiTheme="majorBidi" w:eastAsia="Calibri" w:hAnsiTheme="majorBidi" w:cstheme="majorBidi"/>
        </w:rPr>
      </w:pPr>
      <w:r w:rsidRPr="00CD76BE">
        <w:rPr>
          <w:rFonts w:asciiTheme="majorBidi" w:eastAsia="Calibri" w:hAnsiTheme="majorBidi" w:cstheme="majorBidi"/>
        </w:rPr>
        <w:t xml:space="preserve">1Inas R. El- </w:t>
      </w:r>
      <w:proofErr w:type="spellStart"/>
      <w:r w:rsidRPr="00CD76BE">
        <w:rPr>
          <w:rFonts w:asciiTheme="majorBidi" w:eastAsia="Calibri" w:hAnsiTheme="majorBidi" w:cstheme="majorBidi"/>
        </w:rPr>
        <w:t>Alameey</w:t>
      </w:r>
      <w:proofErr w:type="spellEnd"/>
      <w:r w:rsidRPr="00CD76BE">
        <w:rPr>
          <w:rFonts w:asciiTheme="majorBidi" w:eastAsia="Calibri" w:hAnsiTheme="majorBidi" w:cstheme="majorBidi"/>
        </w:rPr>
        <w:t>, 2</w:t>
      </w:r>
      <w:r w:rsidRPr="00CD76BE">
        <w:rPr>
          <w:rFonts w:asciiTheme="majorBidi" w:eastAsia="Calibri" w:hAnsiTheme="majorBidi" w:cstheme="majorBidi"/>
          <w:color w:val="000000"/>
        </w:rPr>
        <w:t xml:space="preserve">Hanaa </w:t>
      </w:r>
      <w:r w:rsidRPr="00CD76BE">
        <w:rPr>
          <w:rFonts w:asciiTheme="majorBidi" w:eastAsia="Calibri" w:hAnsiTheme="majorBidi" w:cstheme="majorBidi"/>
        </w:rPr>
        <w:t xml:space="preserve">H. Ahmed, 3Rehab A. </w:t>
      </w:r>
      <w:proofErr w:type="spellStart"/>
      <w:r w:rsidRPr="00CD76BE">
        <w:rPr>
          <w:rFonts w:asciiTheme="majorBidi" w:eastAsia="Calibri" w:hAnsiTheme="majorBidi" w:cstheme="majorBidi"/>
        </w:rPr>
        <w:t>Mahmoud</w:t>
      </w:r>
      <w:proofErr w:type="spellEnd"/>
      <w:proofErr w:type="gramStart"/>
      <w:r w:rsidRPr="00CD76BE">
        <w:rPr>
          <w:rFonts w:asciiTheme="majorBidi" w:eastAsia="Calibri" w:hAnsiTheme="majorBidi" w:cstheme="majorBidi"/>
        </w:rPr>
        <w:t>,  4</w:t>
      </w:r>
      <w:proofErr w:type="gramEnd"/>
      <w:r>
        <w:rPr>
          <w:rFonts w:asciiTheme="majorBidi" w:eastAsia="Calibri" w:hAnsiTheme="majorBidi" w:cstheme="majorBidi"/>
        </w:rPr>
        <w:t xml:space="preserve"> </w:t>
      </w:r>
      <w:proofErr w:type="spellStart"/>
      <w:r w:rsidRPr="00CD76BE">
        <w:rPr>
          <w:rFonts w:asciiTheme="majorBidi" w:eastAsia="Calibri" w:hAnsiTheme="majorBidi" w:cstheme="majorBidi"/>
        </w:rPr>
        <w:t>Sahar</w:t>
      </w:r>
      <w:proofErr w:type="spellEnd"/>
      <w:r w:rsidRPr="00CD76BE">
        <w:rPr>
          <w:rFonts w:asciiTheme="majorBidi" w:eastAsia="Calibri" w:hAnsiTheme="majorBidi" w:cstheme="majorBidi"/>
        </w:rPr>
        <w:t xml:space="preserve"> A. </w:t>
      </w:r>
      <w:proofErr w:type="spellStart"/>
      <w:r w:rsidRPr="00CD76BE">
        <w:rPr>
          <w:rFonts w:asciiTheme="majorBidi" w:eastAsia="Calibri" w:hAnsiTheme="majorBidi" w:cstheme="majorBidi"/>
        </w:rPr>
        <w:t>Kairy</w:t>
      </w:r>
      <w:proofErr w:type="spellEnd"/>
      <w:r w:rsidRPr="00CD76BE">
        <w:rPr>
          <w:rFonts w:asciiTheme="majorBidi" w:eastAsia="Calibri" w:hAnsiTheme="majorBidi" w:cstheme="majorBidi"/>
        </w:rPr>
        <w:t xml:space="preserve">, 5Eman A.  </w:t>
      </w:r>
      <w:proofErr w:type="spellStart"/>
      <w:r w:rsidRPr="00CD76BE">
        <w:rPr>
          <w:rFonts w:asciiTheme="majorBidi" w:eastAsia="Calibri" w:hAnsiTheme="majorBidi" w:cstheme="majorBidi"/>
        </w:rPr>
        <w:t>Medany</w:t>
      </w:r>
      <w:proofErr w:type="spellEnd"/>
    </w:p>
    <w:p w:rsidR="00447D80" w:rsidRPr="00CD76BE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both"/>
        <w:rPr>
          <w:rFonts w:asciiTheme="majorBidi" w:hAnsiTheme="majorBidi" w:cstheme="majorBidi"/>
          <w:color w:val="000000"/>
        </w:rPr>
      </w:pPr>
    </w:p>
    <w:p w:rsidR="00447D80" w:rsidRPr="00BD45F8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both"/>
        <w:rPr>
          <w:rFonts w:asciiTheme="majorBidi" w:hAnsiTheme="majorBidi" w:cstheme="majorBidi"/>
          <w:color w:val="D41145"/>
          <w:sz w:val="20"/>
          <w:szCs w:val="20"/>
        </w:rPr>
      </w:pPr>
      <w:r w:rsidRPr="00BD45F8">
        <w:rPr>
          <w:rFonts w:asciiTheme="majorBidi" w:hAnsiTheme="majorBidi" w:cstheme="majorBidi"/>
          <w:color w:val="221E1F"/>
          <w:sz w:val="20"/>
          <w:szCs w:val="20"/>
        </w:rPr>
        <w:t xml:space="preserve">1Child Health Department, National Research Centre, Egypt; 2Hormones Department, National Research Centre, Egypt; 3Medical Childhood Studies Department, College of Postgraduate Childhood Studies, </w:t>
      </w:r>
      <w:proofErr w:type="spellStart"/>
      <w:r w:rsidRPr="00BD45F8">
        <w:rPr>
          <w:rFonts w:asciiTheme="majorBidi" w:hAnsiTheme="majorBidi" w:cstheme="majorBidi"/>
          <w:color w:val="221E1F"/>
          <w:sz w:val="20"/>
          <w:szCs w:val="20"/>
        </w:rPr>
        <w:t>Ain</w:t>
      </w:r>
      <w:proofErr w:type="spellEnd"/>
      <w:r w:rsidRPr="00BD45F8">
        <w:rPr>
          <w:rFonts w:asciiTheme="majorBidi" w:hAnsiTheme="majorBidi" w:cstheme="majorBidi"/>
          <w:color w:val="221E1F"/>
          <w:sz w:val="20"/>
          <w:szCs w:val="20"/>
        </w:rPr>
        <w:t xml:space="preserve"> Shams University, Egypt.; 4</w:t>
      </w:r>
      <w:r w:rsidRPr="004A66D5">
        <w:rPr>
          <w:rFonts w:asciiTheme="majorBidi" w:eastAsia="Univers-Light" w:hAnsiTheme="majorBidi" w:cstheme="majorBidi"/>
          <w:sz w:val="20"/>
          <w:szCs w:val="20"/>
        </w:rPr>
        <w:t xml:space="preserve"> </w:t>
      </w:r>
      <w:r w:rsidRPr="00BD45F8">
        <w:rPr>
          <w:rFonts w:asciiTheme="majorBidi" w:eastAsia="Univers-Light" w:hAnsiTheme="majorBidi" w:cstheme="majorBidi"/>
          <w:sz w:val="20"/>
          <w:szCs w:val="20"/>
        </w:rPr>
        <w:t>Pediatric</w:t>
      </w:r>
      <w:r w:rsidRPr="00BD45F8">
        <w:rPr>
          <w:rFonts w:asciiTheme="majorBidi" w:hAnsiTheme="majorBidi" w:cstheme="majorBidi"/>
          <w:color w:val="221E1F"/>
          <w:sz w:val="20"/>
          <w:szCs w:val="20"/>
        </w:rPr>
        <w:t xml:space="preserve"> Department</w:t>
      </w:r>
      <w:r>
        <w:rPr>
          <w:rFonts w:asciiTheme="majorBidi" w:hAnsiTheme="majorBidi" w:cstheme="majorBidi"/>
          <w:color w:val="221E1F"/>
          <w:sz w:val="20"/>
          <w:szCs w:val="20"/>
        </w:rPr>
        <w:t>,</w:t>
      </w:r>
      <w:r w:rsidRPr="00BD45F8">
        <w:rPr>
          <w:rFonts w:asciiTheme="majorBidi" w:eastAsia="Univers-Light" w:hAnsiTheme="majorBidi" w:cstheme="majorBidi"/>
          <w:sz w:val="20"/>
          <w:szCs w:val="20"/>
        </w:rPr>
        <w:t xml:space="preserve"> National Nutrition Institute</w:t>
      </w:r>
      <w:r w:rsidRPr="00BD45F8">
        <w:rPr>
          <w:rFonts w:asciiTheme="majorBidi" w:hAnsiTheme="majorBidi" w:cstheme="majorBidi"/>
          <w:color w:val="000000"/>
          <w:sz w:val="20"/>
          <w:szCs w:val="20"/>
        </w:rPr>
        <w:t>, Ministry of health,</w:t>
      </w:r>
      <w:r w:rsidRPr="00BD45F8">
        <w:rPr>
          <w:rFonts w:asciiTheme="majorBidi" w:hAnsiTheme="majorBidi" w:cstheme="majorBidi"/>
          <w:color w:val="221E1F"/>
          <w:sz w:val="20"/>
          <w:szCs w:val="20"/>
        </w:rPr>
        <w:t xml:space="preserve"> Egypt; 5 </w:t>
      </w:r>
      <w:r w:rsidRPr="00BD45F8">
        <w:rPr>
          <w:rFonts w:asciiTheme="majorBidi" w:eastAsia="Univers-Light" w:hAnsiTheme="majorBidi" w:cstheme="majorBidi"/>
          <w:sz w:val="20"/>
          <w:szCs w:val="20"/>
        </w:rPr>
        <w:t>Pediatric</w:t>
      </w:r>
      <w:r w:rsidRPr="00BD45F8">
        <w:rPr>
          <w:rFonts w:asciiTheme="majorBidi" w:hAnsiTheme="majorBidi" w:cstheme="majorBidi"/>
          <w:color w:val="221E1F"/>
          <w:sz w:val="20"/>
          <w:szCs w:val="20"/>
        </w:rPr>
        <w:t xml:space="preserve"> Department,  </w:t>
      </w:r>
      <w:proofErr w:type="spellStart"/>
      <w:r w:rsidRPr="00BD45F8">
        <w:rPr>
          <w:rFonts w:asciiTheme="majorBidi" w:hAnsiTheme="majorBidi" w:cstheme="majorBidi"/>
          <w:color w:val="221E1F"/>
          <w:sz w:val="20"/>
          <w:szCs w:val="20"/>
        </w:rPr>
        <w:t>Aldoha</w:t>
      </w:r>
      <w:proofErr w:type="spellEnd"/>
      <w:r w:rsidRPr="00BD45F8">
        <w:rPr>
          <w:rFonts w:asciiTheme="majorBidi" w:hAnsiTheme="majorBidi" w:cstheme="majorBidi"/>
          <w:color w:val="221E1F"/>
          <w:sz w:val="20"/>
          <w:szCs w:val="20"/>
        </w:rPr>
        <w:t xml:space="preserve"> Hospital,</w:t>
      </w:r>
      <w:r w:rsidRPr="00BD45F8">
        <w:rPr>
          <w:rFonts w:asciiTheme="majorBidi" w:hAnsiTheme="majorBidi" w:cstheme="majorBidi"/>
          <w:color w:val="000000"/>
          <w:sz w:val="20"/>
          <w:szCs w:val="20"/>
        </w:rPr>
        <w:t xml:space="preserve"> Ministry of health,</w:t>
      </w:r>
      <w:r w:rsidRPr="00BD45F8">
        <w:rPr>
          <w:rFonts w:asciiTheme="majorBidi" w:hAnsiTheme="majorBidi" w:cstheme="majorBidi"/>
          <w:color w:val="221E1F"/>
          <w:sz w:val="20"/>
          <w:szCs w:val="20"/>
        </w:rPr>
        <w:t xml:space="preserve"> Egypt.</w:t>
      </w:r>
    </w:p>
    <w:p w:rsidR="00447D80" w:rsidRPr="00BD45F8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both"/>
        <w:rPr>
          <w:rFonts w:asciiTheme="majorBidi" w:hAnsiTheme="majorBidi" w:cstheme="majorBidi"/>
          <w:b/>
          <w:bCs/>
          <w:color w:val="221E1F"/>
          <w:sz w:val="20"/>
          <w:szCs w:val="20"/>
        </w:rPr>
      </w:pPr>
    </w:p>
    <w:p w:rsidR="00447D80" w:rsidRPr="00CD76BE" w:rsidRDefault="00447D80" w:rsidP="00447D80">
      <w:pPr>
        <w:autoSpaceDE w:val="0"/>
        <w:autoSpaceDN w:val="0"/>
        <w:adjustRightInd w:val="0"/>
        <w:spacing w:after="0" w:line="240" w:lineRule="auto"/>
        <w:ind w:right="-540"/>
        <w:jc w:val="both"/>
        <w:rPr>
          <w:rFonts w:asciiTheme="majorBidi" w:hAnsiTheme="majorBidi" w:cstheme="majorBidi"/>
          <w:b/>
          <w:bCs/>
          <w:color w:val="221E1F"/>
        </w:rPr>
      </w:pPr>
      <w:r w:rsidRPr="00CD76BE">
        <w:rPr>
          <w:rFonts w:asciiTheme="majorBidi" w:hAnsiTheme="majorBidi" w:cstheme="majorBidi"/>
          <w:b/>
          <w:bCs/>
          <w:color w:val="221E1F"/>
        </w:rPr>
        <w:t>Abstract</w:t>
      </w:r>
    </w:p>
    <w:p w:rsidR="00447D80" w:rsidRPr="00CD76BE" w:rsidRDefault="00447D80" w:rsidP="00447D80">
      <w:pPr>
        <w:spacing w:after="0" w:line="240" w:lineRule="auto"/>
        <w:ind w:right="-540"/>
        <w:jc w:val="both"/>
        <w:rPr>
          <w:rFonts w:asciiTheme="majorBidi" w:eastAsia="Calibri" w:hAnsiTheme="majorBidi" w:cstheme="majorBidi"/>
        </w:rPr>
      </w:pPr>
    </w:p>
    <w:p w:rsidR="00447D80" w:rsidRPr="008B7E64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both"/>
        <w:rPr>
          <w:rFonts w:asciiTheme="majorBidi" w:eastAsia="ThiemeGulliver2011-Regular" w:hAnsiTheme="majorBidi" w:cstheme="majorBidi"/>
          <w:color w:val="000000"/>
          <w:sz w:val="24"/>
          <w:szCs w:val="24"/>
        </w:rPr>
      </w:pPr>
      <w:r w:rsidRPr="008B7E64">
        <w:rPr>
          <w:rFonts w:asciiTheme="majorBidi" w:eastAsia="ThiemeGulliver2011-Regular" w:hAnsiTheme="majorBidi" w:cstheme="majorBidi"/>
          <w:b/>
          <w:bCs/>
          <w:color w:val="000000"/>
          <w:sz w:val="24"/>
          <w:szCs w:val="24"/>
        </w:rPr>
        <w:t>Background: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 xml:space="preserve"> Obesity has become a serious health issue as it is associated with chronic low-grade inflammation and cardiovascular risk. Studies in adults proved that serum </w:t>
      </w:r>
      <w:proofErr w:type="spellStart"/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>myeloperoxidase</w:t>
      </w:r>
      <w:proofErr w:type="spellEnd"/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 xml:space="preserve"> (MPO) is a potent mediator for cardiovascular diseases. </w:t>
      </w:r>
    </w:p>
    <w:p w:rsidR="00447D80" w:rsidRPr="008B7E64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both"/>
        <w:rPr>
          <w:rFonts w:asciiTheme="majorBidi" w:eastAsia="ThiemeGulliver2011-Regular" w:hAnsiTheme="majorBidi" w:cstheme="majorBidi"/>
          <w:color w:val="000000"/>
          <w:sz w:val="24"/>
          <w:szCs w:val="24"/>
        </w:rPr>
      </w:pPr>
    </w:p>
    <w:p w:rsidR="00447D80" w:rsidRPr="008B7E64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both"/>
        <w:rPr>
          <w:rFonts w:asciiTheme="majorBidi" w:eastAsia="ThiemeGulliver2011-Regular" w:hAnsiTheme="majorBidi" w:cstheme="majorBidi"/>
          <w:b/>
          <w:bCs/>
          <w:color w:val="818385"/>
          <w:sz w:val="24"/>
          <w:szCs w:val="24"/>
        </w:rPr>
      </w:pPr>
      <w:r w:rsidRPr="008B7E64">
        <w:rPr>
          <w:rFonts w:asciiTheme="majorBidi" w:eastAsia="ThiemeGulliver2011-Regular" w:hAnsiTheme="majorBidi" w:cstheme="majorBidi"/>
          <w:b/>
          <w:bCs/>
          <w:color w:val="000000"/>
          <w:sz w:val="24"/>
          <w:szCs w:val="24"/>
        </w:rPr>
        <w:t>Objective: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 xml:space="preserve"> This study was planned to assess serum MPO activity in obese children and adolescents </w:t>
      </w:r>
      <w:r w:rsidRPr="008B7E64">
        <w:rPr>
          <w:rFonts w:asciiTheme="majorBidi" w:hAnsiTheme="majorBidi" w:cstheme="majorBidi"/>
          <w:color w:val="221E1F"/>
          <w:sz w:val="24"/>
          <w:szCs w:val="24"/>
        </w:rPr>
        <w:t>to elucidate if MPO is linked with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 xml:space="preserve"> cardiovascular risk</w:t>
      </w:r>
      <w:r w:rsidRPr="008B7E64">
        <w:rPr>
          <w:rFonts w:asciiTheme="majorBidi" w:hAnsiTheme="majorBidi" w:cstheme="majorBidi"/>
          <w:sz w:val="24"/>
          <w:szCs w:val="24"/>
        </w:rPr>
        <w:t xml:space="preserve"> parameters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>.</w:t>
      </w:r>
    </w:p>
    <w:p w:rsidR="00447D80" w:rsidRPr="008B7E64" w:rsidRDefault="00447D80" w:rsidP="00447D80">
      <w:pPr>
        <w:pStyle w:val="Default"/>
        <w:ind w:left="-450" w:right="-540"/>
        <w:jc w:val="both"/>
        <w:rPr>
          <w:rFonts w:asciiTheme="majorBidi" w:hAnsiTheme="majorBidi" w:cstheme="majorBidi"/>
        </w:rPr>
      </w:pPr>
    </w:p>
    <w:p w:rsidR="00447D80" w:rsidRPr="008B7E64" w:rsidRDefault="00447D80" w:rsidP="00447D80">
      <w:pPr>
        <w:pStyle w:val="Default"/>
        <w:ind w:left="-450" w:right="-540"/>
        <w:jc w:val="both"/>
        <w:rPr>
          <w:rFonts w:asciiTheme="majorBidi" w:eastAsia="ThiemeGulliver2011-Regular" w:hAnsiTheme="majorBidi" w:cstheme="majorBidi"/>
        </w:rPr>
      </w:pPr>
      <w:r w:rsidRPr="008B7E64">
        <w:rPr>
          <w:rFonts w:asciiTheme="majorBidi" w:eastAsia="ThiemeGulliver2011-Regular" w:hAnsiTheme="majorBidi" w:cstheme="majorBidi"/>
          <w:b/>
          <w:bCs/>
          <w:color w:val="auto"/>
        </w:rPr>
        <w:t>Subjects and Methods:</w:t>
      </w:r>
      <w:r w:rsidRPr="008B7E64">
        <w:rPr>
          <w:rFonts w:asciiTheme="majorBidi" w:eastAsia="ThiemeGulliver2011-Regular" w:hAnsiTheme="majorBidi" w:cstheme="majorBidi"/>
          <w:b/>
          <w:bCs/>
          <w:color w:val="818385"/>
        </w:rPr>
        <w:t xml:space="preserve"> </w:t>
      </w:r>
      <w:r w:rsidRPr="008B7E64">
        <w:rPr>
          <w:rFonts w:asciiTheme="majorBidi" w:eastAsia="ThiemeGulliver2011-Regular" w:hAnsiTheme="majorBidi" w:cstheme="majorBidi"/>
        </w:rPr>
        <w:t xml:space="preserve">This research work was conducted on 90 subjects (50 obese and 40 controls of matched age and sex). Each group was classified into 2 subgroups according to tanner stage into </w:t>
      </w:r>
      <w:proofErr w:type="spellStart"/>
      <w:r w:rsidRPr="008B7E64">
        <w:rPr>
          <w:rFonts w:asciiTheme="majorBidi" w:eastAsia="ThiemeGulliver2011-Regular" w:hAnsiTheme="majorBidi" w:cstheme="majorBidi"/>
        </w:rPr>
        <w:t>prepubertal</w:t>
      </w:r>
      <w:proofErr w:type="spellEnd"/>
      <w:r w:rsidRPr="008B7E64">
        <w:rPr>
          <w:rFonts w:asciiTheme="majorBidi" w:eastAsia="ThiemeGulliver2011-Regular" w:hAnsiTheme="majorBidi" w:cstheme="majorBidi"/>
        </w:rPr>
        <w:t xml:space="preserve"> and pubertal. Clinical examination and a</w:t>
      </w:r>
      <w:r w:rsidRPr="008B7E64">
        <w:rPr>
          <w:rFonts w:asciiTheme="majorBidi" w:hAnsiTheme="majorBidi" w:cstheme="majorBidi"/>
        </w:rPr>
        <w:t xml:space="preserve">nthropometric measures were performed for all </w:t>
      </w:r>
      <w:r w:rsidRPr="008B7E64">
        <w:rPr>
          <w:rFonts w:asciiTheme="majorBidi" w:eastAsia="ThiemeGulliver2011-Regular" w:hAnsiTheme="majorBidi" w:cstheme="majorBidi"/>
          <w:color w:val="auto"/>
        </w:rPr>
        <w:t>subjects</w:t>
      </w:r>
      <w:r w:rsidRPr="008B7E64">
        <w:rPr>
          <w:rFonts w:asciiTheme="majorBidi" w:hAnsiTheme="majorBidi" w:cstheme="majorBidi"/>
        </w:rPr>
        <w:t xml:space="preserve">. Also </w:t>
      </w:r>
      <w:r w:rsidRPr="008B7E64">
        <w:rPr>
          <w:rFonts w:asciiTheme="majorBidi" w:eastAsia="ThiemeGulliver2011-Regular" w:hAnsiTheme="majorBidi" w:cstheme="majorBidi"/>
        </w:rPr>
        <w:t>serum MPO, glucose, insulin, CRP, and lipid panel were analyzed.</w:t>
      </w:r>
    </w:p>
    <w:p w:rsidR="00447D80" w:rsidRPr="008B7E64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both"/>
        <w:rPr>
          <w:rFonts w:asciiTheme="majorBidi" w:eastAsia="ThiemeGulliver2011-Regular" w:hAnsiTheme="majorBidi" w:cstheme="majorBidi"/>
          <w:color w:val="000000"/>
          <w:sz w:val="24"/>
          <w:szCs w:val="24"/>
        </w:rPr>
      </w:pPr>
    </w:p>
    <w:p w:rsidR="00447D80" w:rsidRPr="008B7E64" w:rsidRDefault="00447D80" w:rsidP="00447D80">
      <w:pPr>
        <w:spacing w:after="0" w:line="240" w:lineRule="auto"/>
        <w:ind w:left="-450" w:right="-540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8B7E64">
        <w:rPr>
          <w:rFonts w:asciiTheme="majorBidi" w:eastAsia="ThiemeGulliver2011-Regular" w:hAnsiTheme="majorBidi" w:cstheme="majorBidi"/>
          <w:b/>
          <w:bCs/>
          <w:sz w:val="24"/>
          <w:szCs w:val="24"/>
        </w:rPr>
        <w:t>Results:</w:t>
      </w:r>
      <w:r w:rsidRPr="008B7E64">
        <w:rPr>
          <w:rFonts w:asciiTheme="majorBidi" w:eastAsia="ThiemeGulliver2011-Regular" w:hAnsiTheme="majorBidi" w:cstheme="majorBidi"/>
          <w:b/>
          <w:bCs/>
          <w:color w:val="818385"/>
          <w:sz w:val="24"/>
          <w:szCs w:val="24"/>
        </w:rPr>
        <w:t xml:space="preserve"> 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>Significant rise (P&lt;0.05) in s</w:t>
      </w:r>
      <w:r w:rsidRPr="008B7E64">
        <w:rPr>
          <w:rFonts w:asciiTheme="majorBidi" w:eastAsia="ThiemeGulliver2011-Regular" w:hAnsiTheme="majorBidi" w:cstheme="majorBidi"/>
          <w:sz w:val="24"/>
          <w:szCs w:val="24"/>
        </w:rPr>
        <w:t>erum</w:t>
      </w:r>
      <w:r w:rsidRPr="008B7E64">
        <w:rPr>
          <w:rFonts w:asciiTheme="majorBidi" w:eastAsia="ThiemeGulliver2011-Regular" w:hAnsiTheme="majorBidi" w:cstheme="majorBidi"/>
          <w:b/>
          <w:bCs/>
          <w:color w:val="818385"/>
          <w:sz w:val="24"/>
          <w:szCs w:val="24"/>
        </w:rPr>
        <w:t xml:space="preserve"> 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 xml:space="preserve">MPO, total cholesterol, triglycerides, LDL and a significant drop (P&lt;0.01) in serum HDL values were recorded in the group of </w:t>
      </w:r>
      <w:proofErr w:type="spellStart"/>
      <w:r w:rsidRPr="008B7E64">
        <w:rPr>
          <w:rFonts w:asciiTheme="majorBidi" w:hAnsiTheme="majorBidi" w:cstheme="majorBidi"/>
          <w:sz w:val="24"/>
          <w:szCs w:val="24"/>
        </w:rPr>
        <w:t>prepubertal</w:t>
      </w:r>
      <w:proofErr w:type="spellEnd"/>
      <w:r w:rsidRPr="008B7E64">
        <w:rPr>
          <w:rFonts w:asciiTheme="majorBidi" w:hAnsiTheme="majorBidi" w:cstheme="majorBidi"/>
          <w:sz w:val="24"/>
          <w:szCs w:val="24"/>
        </w:rPr>
        <w:t xml:space="preserve">, and pubertal 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>obese individuals relative to controls.  Serum MPO activity showed positive correlation with waist: hip ratio, body fat percentage, serum insulin, and HOMA-IR. While it revealed inverse correlation with basal metabolic rate.</w:t>
      </w:r>
      <w:r w:rsidRPr="008B7E64">
        <w:rPr>
          <w:rFonts w:asciiTheme="majorBidi" w:hAnsiTheme="majorBidi" w:cstheme="majorBidi"/>
          <w:sz w:val="24"/>
          <w:szCs w:val="24"/>
        </w:rPr>
        <w:t xml:space="preserve"> Linear regression indicated that serum MPO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 xml:space="preserve"> activity</w:t>
      </w:r>
      <w:r w:rsidRPr="008B7E64">
        <w:rPr>
          <w:rFonts w:asciiTheme="majorBidi" w:hAnsiTheme="majorBidi" w:cstheme="majorBidi"/>
          <w:sz w:val="24"/>
          <w:szCs w:val="24"/>
        </w:rPr>
        <w:t xml:space="preserve"> has a good association with cardiovascular risk parameters as BMI-z score, waist: hip ratio, serum insulin</w:t>
      </w:r>
      <w:r w:rsidRPr="008B7E64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8B7E64">
        <w:rPr>
          <w:rFonts w:asciiTheme="majorBidi" w:hAnsiTheme="majorBidi" w:cstheme="majorBidi"/>
          <w:sz w:val="24"/>
          <w:szCs w:val="24"/>
        </w:rPr>
        <w:t xml:space="preserve">and HOMA-IR in both </w:t>
      </w:r>
      <w:proofErr w:type="spellStart"/>
      <w:proofErr w:type="gramStart"/>
      <w:r w:rsidRPr="008B7E64">
        <w:rPr>
          <w:rFonts w:asciiTheme="majorBidi" w:hAnsiTheme="majorBidi" w:cstheme="majorBidi"/>
          <w:sz w:val="24"/>
          <w:szCs w:val="24"/>
        </w:rPr>
        <w:t>prepubertal</w:t>
      </w:r>
      <w:proofErr w:type="spellEnd"/>
      <w:r w:rsidRPr="008B7E64">
        <w:rPr>
          <w:rFonts w:asciiTheme="majorBidi" w:hAnsiTheme="majorBidi" w:cstheme="majorBidi"/>
          <w:sz w:val="24"/>
          <w:szCs w:val="24"/>
        </w:rPr>
        <w:t>,</w:t>
      </w:r>
      <w:proofErr w:type="gramEnd"/>
      <w:r w:rsidRPr="008B7E64">
        <w:rPr>
          <w:rFonts w:asciiTheme="majorBidi" w:hAnsiTheme="majorBidi" w:cstheme="majorBidi"/>
          <w:sz w:val="24"/>
          <w:szCs w:val="24"/>
        </w:rPr>
        <w:t xml:space="preserve"> and pubertal obese </w:t>
      </w:r>
      <w:r w:rsidRPr="008B7E64">
        <w:rPr>
          <w:rFonts w:asciiTheme="majorBidi" w:eastAsia="ThiemeGulliver2011-Regular" w:hAnsiTheme="majorBidi" w:cstheme="majorBidi"/>
          <w:sz w:val="24"/>
          <w:szCs w:val="24"/>
        </w:rPr>
        <w:t>subjects</w:t>
      </w:r>
      <w:r w:rsidRPr="008B7E64">
        <w:rPr>
          <w:rFonts w:asciiTheme="majorBidi" w:hAnsiTheme="majorBidi" w:cstheme="majorBidi"/>
          <w:sz w:val="24"/>
          <w:szCs w:val="24"/>
        </w:rPr>
        <w:t xml:space="preserve">. The cut off value of 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>MPO</w:t>
      </w:r>
      <w:r w:rsidRPr="008B7E64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>activity</w:t>
      </w:r>
      <w:r w:rsidRPr="008B7E64">
        <w:rPr>
          <w:rFonts w:asciiTheme="majorBidi" w:hAnsiTheme="majorBidi" w:cstheme="majorBidi"/>
          <w:spacing w:val="-2"/>
          <w:sz w:val="24"/>
          <w:szCs w:val="24"/>
        </w:rPr>
        <w:t xml:space="preserve"> was 480 pg/ ml in pre-pubertal group with sensitivity of 85.8% and specificity of 71%, and 490 pg/ ml in pubertal group with sensitivity of </w:t>
      </w:r>
      <w:r w:rsidRPr="008B7E64">
        <w:rPr>
          <w:rFonts w:asciiTheme="majorBidi" w:hAnsiTheme="majorBidi" w:cstheme="majorBidi"/>
          <w:color w:val="000000"/>
          <w:sz w:val="24"/>
          <w:szCs w:val="24"/>
        </w:rPr>
        <w:t xml:space="preserve">84.6 </w:t>
      </w:r>
      <w:r w:rsidRPr="008B7E64">
        <w:rPr>
          <w:rFonts w:asciiTheme="majorBidi" w:hAnsiTheme="majorBidi" w:cstheme="majorBidi"/>
          <w:spacing w:val="-2"/>
          <w:sz w:val="24"/>
          <w:szCs w:val="24"/>
        </w:rPr>
        <w:t xml:space="preserve">% and specificity of </w:t>
      </w:r>
      <w:r w:rsidRPr="008B7E64">
        <w:rPr>
          <w:rFonts w:asciiTheme="majorBidi" w:hAnsiTheme="majorBidi" w:cstheme="majorBidi"/>
          <w:color w:val="000000"/>
          <w:sz w:val="24"/>
          <w:szCs w:val="24"/>
        </w:rPr>
        <w:t>59</w:t>
      </w:r>
      <w:r w:rsidRPr="008B7E64">
        <w:rPr>
          <w:rFonts w:asciiTheme="majorBidi" w:hAnsiTheme="majorBidi" w:cstheme="majorBidi"/>
          <w:spacing w:val="-2"/>
          <w:sz w:val="24"/>
          <w:szCs w:val="24"/>
        </w:rPr>
        <w:t>%.</w:t>
      </w:r>
    </w:p>
    <w:p w:rsidR="00447D80" w:rsidRPr="008B7E64" w:rsidRDefault="00447D80" w:rsidP="00447D80">
      <w:pPr>
        <w:spacing w:after="0" w:line="240" w:lineRule="auto"/>
        <w:ind w:left="-450" w:right="-540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447D80" w:rsidRPr="00115F2F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both"/>
        <w:rPr>
          <w:rFonts w:asciiTheme="majorBidi" w:eastAsia="ThiemeGulliver2011-Regular" w:hAnsiTheme="majorBidi" w:cstheme="majorBidi"/>
          <w:color w:val="000000"/>
          <w:sz w:val="24"/>
          <w:szCs w:val="24"/>
        </w:rPr>
      </w:pPr>
      <w:r w:rsidRPr="008B7E64">
        <w:rPr>
          <w:rFonts w:asciiTheme="majorBidi" w:eastAsia="ThiemeGulliver2011-Regular" w:hAnsiTheme="majorBidi" w:cstheme="majorBidi"/>
          <w:sz w:val="24"/>
          <w:szCs w:val="24"/>
        </w:rPr>
        <w:t xml:space="preserve"> </w:t>
      </w:r>
      <w:r w:rsidRPr="008B7E64">
        <w:rPr>
          <w:rFonts w:asciiTheme="majorBidi" w:eastAsia="ThiemeGulliver2011-Regular" w:hAnsiTheme="majorBidi" w:cstheme="majorBidi"/>
          <w:b/>
          <w:bCs/>
          <w:sz w:val="24"/>
          <w:szCs w:val="24"/>
        </w:rPr>
        <w:t>Conclusion:</w:t>
      </w:r>
      <w:r w:rsidRPr="008B7E64">
        <w:rPr>
          <w:rFonts w:asciiTheme="majorBidi" w:eastAsia="ThiemeGulliver2011-Regular" w:hAnsiTheme="majorBidi" w:cstheme="majorBidi"/>
          <w:b/>
          <w:bCs/>
          <w:color w:val="818385"/>
          <w:sz w:val="24"/>
          <w:szCs w:val="24"/>
        </w:rPr>
        <w:t xml:space="preserve"> </w:t>
      </w:r>
      <w:r w:rsidRPr="008B7E64">
        <w:rPr>
          <w:rFonts w:asciiTheme="majorBidi" w:eastAsia="ThiemeGulliver2011-Regular" w:hAnsiTheme="majorBidi" w:cstheme="majorBidi"/>
          <w:sz w:val="24"/>
          <w:szCs w:val="24"/>
        </w:rPr>
        <w:t>This study emphasized the elevated MPO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 xml:space="preserve"> activity in the serum of </w:t>
      </w:r>
      <w:proofErr w:type="spellStart"/>
      <w:r w:rsidRPr="008B7E64">
        <w:rPr>
          <w:rFonts w:asciiTheme="majorBidi" w:hAnsiTheme="majorBidi" w:cstheme="majorBidi"/>
          <w:sz w:val="24"/>
          <w:szCs w:val="24"/>
        </w:rPr>
        <w:t>prepubertal</w:t>
      </w:r>
      <w:proofErr w:type="spellEnd"/>
      <w:r w:rsidRPr="008B7E64">
        <w:rPr>
          <w:rFonts w:asciiTheme="majorBidi" w:hAnsiTheme="majorBidi" w:cstheme="majorBidi"/>
          <w:sz w:val="24"/>
          <w:szCs w:val="24"/>
        </w:rPr>
        <w:t xml:space="preserve">, and pubertal </w:t>
      </w:r>
      <w:r w:rsidRPr="008B7E64">
        <w:rPr>
          <w:rFonts w:asciiTheme="majorBidi" w:eastAsia="ThiemeGulliver2011-Regular" w:hAnsiTheme="majorBidi" w:cstheme="majorBidi"/>
          <w:color w:val="000000"/>
          <w:sz w:val="24"/>
          <w:szCs w:val="24"/>
        </w:rPr>
        <w:t xml:space="preserve">obese individuals. Therefore, </w:t>
      </w:r>
      <w:r w:rsidRPr="008B7E64">
        <w:rPr>
          <w:rFonts w:asciiTheme="majorBidi" w:hAnsiTheme="majorBidi" w:cstheme="majorBidi"/>
          <w:sz w:val="24"/>
          <w:szCs w:val="24"/>
        </w:rPr>
        <w:t xml:space="preserve">MPO could be considered as a potential link between obesity and cardiovascular complications in </w:t>
      </w:r>
      <w:proofErr w:type="spellStart"/>
      <w:proofErr w:type="gramStart"/>
      <w:r w:rsidRPr="008B7E64">
        <w:rPr>
          <w:rFonts w:asciiTheme="majorBidi" w:hAnsiTheme="majorBidi" w:cstheme="majorBidi"/>
          <w:sz w:val="24"/>
          <w:szCs w:val="24"/>
        </w:rPr>
        <w:t>prepubertal</w:t>
      </w:r>
      <w:proofErr w:type="spellEnd"/>
      <w:r w:rsidRPr="008B7E64">
        <w:rPr>
          <w:rFonts w:asciiTheme="majorBidi" w:hAnsiTheme="majorBidi" w:cstheme="majorBidi"/>
          <w:sz w:val="24"/>
          <w:szCs w:val="24"/>
        </w:rPr>
        <w:t>,</w:t>
      </w:r>
      <w:proofErr w:type="gramEnd"/>
      <w:r w:rsidRPr="008B7E64">
        <w:rPr>
          <w:rFonts w:asciiTheme="majorBidi" w:hAnsiTheme="majorBidi" w:cstheme="majorBidi"/>
          <w:sz w:val="24"/>
          <w:szCs w:val="24"/>
        </w:rPr>
        <w:t xml:space="preserve"> and pubertal population.</w:t>
      </w:r>
    </w:p>
    <w:p w:rsidR="00447D80" w:rsidRPr="0010127A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both"/>
        <w:rPr>
          <w:rFonts w:asciiTheme="majorBidi" w:eastAsia="ThiemeGulliver2011-Regular" w:hAnsiTheme="majorBidi" w:cstheme="majorBidi"/>
          <w:color w:val="000000"/>
          <w:sz w:val="24"/>
          <w:szCs w:val="24"/>
        </w:rPr>
      </w:pPr>
    </w:p>
    <w:p w:rsidR="00447D80" w:rsidRPr="0010127A" w:rsidRDefault="00447D80" w:rsidP="00447D80">
      <w:pPr>
        <w:autoSpaceDE w:val="0"/>
        <w:autoSpaceDN w:val="0"/>
        <w:adjustRightInd w:val="0"/>
        <w:spacing w:after="0" w:line="240" w:lineRule="auto"/>
        <w:ind w:left="-450" w:right="-540"/>
        <w:jc w:val="both"/>
        <w:rPr>
          <w:rFonts w:asciiTheme="majorBidi" w:hAnsiTheme="majorBidi" w:cstheme="majorBidi"/>
          <w:sz w:val="24"/>
          <w:szCs w:val="24"/>
        </w:rPr>
      </w:pPr>
      <w:r w:rsidRPr="004A6284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Pr="0010127A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10127A">
        <w:rPr>
          <w:rFonts w:asciiTheme="majorBidi" w:hAnsiTheme="majorBidi" w:cstheme="majorBidi"/>
          <w:sz w:val="24"/>
          <w:szCs w:val="24"/>
        </w:rPr>
        <w:t>myeloperoxidase</w:t>
      </w:r>
      <w:proofErr w:type="spellEnd"/>
      <w:r w:rsidRPr="0010127A">
        <w:rPr>
          <w:rFonts w:asciiTheme="majorBidi" w:hAnsiTheme="majorBidi" w:cstheme="majorBidi"/>
          <w:sz w:val="24"/>
          <w:szCs w:val="24"/>
        </w:rPr>
        <w:t>, obesity, cardiovascular disease, children, adolescents.</w:t>
      </w:r>
    </w:p>
    <w:p w:rsidR="00D96B69" w:rsidRDefault="00D96B69"/>
    <w:sectPr w:rsidR="00D96B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-Ligh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hiemeGulliver2011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47D80"/>
    <w:rsid w:val="00447D80"/>
    <w:rsid w:val="00D96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7D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2019-02-11T01:39:00Z</dcterms:created>
  <dcterms:modified xsi:type="dcterms:W3CDTF">2019-02-11T01:40:00Z</dcterms:modified>
</cp:coreProperties>
</file>