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B1A0D" w14:textId="2C438B04" w:rsidR="006A6F73" w:rsidRPr="005C453C" w:rsidRDefault="006A6F73" w:rsidP="006A6F73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</w:rPr>
      </w:pP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TITLE: ETIOLOGY OF NEONATAL INFECTION IN SECONDARY LEVEL HOSPITAL</w:t>
      </w:r>
      <w:r w:rsidR="002D2D0B">
        <w:rPr>
          <w:rFonts w:eastAsia="Times New Roman" w:cstheme="minorHAnsi"/>
          <w:b/>
          <w:bCs/>
          <w:color w:val="545253"/>
          <w:sz w:val="20"/>
          <w:szCs w:val="20"/>
        </w:rPr>
        <w:t>S</w:t>
      </w: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 xml:space="preserve"> IN INDIA</w:t>
      </w:r>
    </w:p>
    <w:p w14:paraId="6FD34215" w14:textId="77777777" w:rsidR="006A6F73" w:rsidRPr="005C453C" w:rsidRDefault="006A6F73" w:rsidP="006A6F73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</w:rPr>
      </w:pP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 </w:t>
      </w:r>
    </w:p>
    <w:p w14:paraId="543E6CDF" w14:textId="1C44438D" w:rsidR="006A6F73" w:rsidRDefault="006A6F73" w:rsidP="002D2D0B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545253"/>
          <w:sz w:val="20"/>
          <w:szCs w:val="20"/>
        </w:rPr>
      </w:pP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Authors Name and Place: Investigators of ICMR Neonatal Infection Surveillance Group*</w:t>
      </w:r>
    </w:p>
    <w:p w14:paraId="01E02B2E" w14:textId="52C89C47" w:rsidR="004126F7" w:rsidRPr="005C453C" w:rsidRDefault="004126F7" w:rsidP="002D2D0B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Presenter: Dr. Reeta Rasaily</w:t>
      </w:r>
      <w:bookmarkStart w:id="0" w:name="_GoBack"/>
      <w:bookmarkEnd w:id="0"/>
    </w:p>
    <w:p w14:paraId="79E38DCF" w14:textId="5873DA40" w:rsidR="006A6F73" w:rsidRPr="005C453C" w:rsidRDefault="006A6F73" w:rsidP="0073309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545253"/>
          <w:sz w:val="20"/>
          <w:szCs w:val="20"/>
        </w:rPr>
      </w:pP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Background and aims:</w:t>
      </w:r>
      <w:r w:rsidRPr="005C453C">
        <w:rPr>
          <w:rFonts w:eastAsia="Times New Roman" w:cstheme="minorHAnsi"/>
          <w:color w:val="545253"/>
          <w:sz w:val="20"/>
          <w:szCs w:val="20"/>
        </w:rPr>
        <w:t> Neonatal infections are major causes of neonatal deaths. Limited data is available on etiological agents of neonatal sepsis in the community. ICMR carried out a multicenter study in district hospitals at 6 sites with the aim to identify organism causing sepsis in neonates and their antimicrobial susceptibility pattern. </w:t>
      </w: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Methods:</w:t>
      </w:r>
      <w:r w:rsidRPr="005C453C">
        <w:rPr>
          <w:rFonts w:eastAsia="Times New Roman" w:cstheme="minorHAnsi"/>
          <w:color w:val="545253"/>
          <w:sz w:val="20"/>
          <w:szCs w:val="20"/>
        </w:rPr>
        <w:t> All babies less than 28 days old either delivered in the district hospital or referred to district hospital, from C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 xml:space="preserve">ommunity </w:t>
      </w:r>
      <w:r w:rsidRPr="005C453C">
        <w:rPr>
          <w:rFonts w:eastAsia="Times New Roman" w:cstheme="minorHAnsi"/>
          <w:color w:val="545253"/>
          <w:sz w:val="20"/>
          <w:szCs w:val="20"/>
        </w:rPr>
        <w:t>H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 xml:space="preserve">ealth </w:t>
      </w:r>
      <w:r w:rsidRPr="005C453C">
        <w:rPr>
          <w:rFonts w:eastAsia="Times New Roman" w:cstheme="minorHAnsi"/>
          <w:color w:val="545253"/>
          <w:sz w:val="20"/>
          <w:szCs w:val="20"/>
        </w:rPr>
        <w:t>C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>enters (CHC</w:t>
      </w:r>
      <w:r w:rsidRPr="005C453C">
        <w:rPr>
          <w:rFonts w:eastAsia="Times New Roman" w:cstheme="minorHAnsi"/>
          <w:color w:val="545253"/>
          <w:sz w:val="20"/>
          <w:szCs w:val="20"/>
        </w:rPr>
        <w:t>s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>)</w:t>
      </w:r>
      <w:r w:rsidRPr="005C453C">
        <w:rPr>
          <w:rFonts w:eastAsia="Times New Roman" w:cstheme="minorHAnsi"/>
          <w:color w:val="545253"/>
          <w:sz w:val="20"/>
          <w:szCs w:val="20"/>
        </w:rPr>
        <w:t>/ F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>irst Referral Units (F</w:t>
      </w:r>
      <w:r w:rsidRPr="005C453C">
        <w:rPr>
          <w:rFonts w:eastAsia="Times New Roman" w:cstheme="minorHAnsi"/>
          <w:color w:val="545253"/>
          <w:sz w:val="20"/>
          <w:szCs w:val="20"/>
        </w:rPr>
        <w:t>RUs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>)</w:t>
      </w:r>
      <w:r w:rsidRPr="005C453C">
        <w:rPr>
          <w:rFonts w:eastAsia="Times New Roman" w:cstheme="minorHAnsi"/>
          <w:color w:val="545253"/>
          <w:sz w:val="20"/>
          <w:szCs w:val="20"/>
        </w:rPr>
        <w:t>/ community with signs and symptoms of probable sepsis were screened. Neonates fulfilling inclusion, exclusion criteria were enrolled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>.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 On enrollment detailed history 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>was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 obtained and recorded in a predesigned structured proforma. Blood sample was collected for culture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 xml:space="preserve">/ </w:t>
      </w:r>
      <w:r w:rsidRPr="005C453C">
        <w:rPr>
          <w:rFonts w:eastAsia="Times New Roman" w:cstheme="minorHAnsi"/>
          <w:color w:val="545253"/>
          <w:sz w:val="20"/>
          <w:szCs w:val="20"/>
        </w:rPr>
        <w:t>microbiological evaluation as well as for sepsis screen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 xml:space="preserve"> </w:t>
      </w:r>
      <w:r w:rsidR="006C653C" w:rsidRPr="005C453C">
        <w:rPr>
          <w:rFonts w:eastAsia="Times New Roman" w:cstheme="minorHAnsi"/>
          <w:color w:val="545253"/>
          <w:sz w:val="20"/>
          <w:szCs w:val="20"/>
        </w:rPr>
        <w:t>prior to administration of antimicrobials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. 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 xml:space="preserve">All samples were transported to the reference laboratory for quality control. </w:t>
      </w: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Results: </w:t>
      </w:r>
      <w:r w:rsidRPr="005C453C">
        <w:rPr>
          <w:rFonts w:eastAsia="Times New Roman" w:cstheme="minorHAnsi"/>
          <w:color w:val="545253"/>
          <w:sz w:val="20"/>
          <w:szCs w:val="20"/>
        </w:rPr>
        <w:t>A total of 34656 neonates were screened, 88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>.1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 percent were inborn and 11.9 percent were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outborn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. Of them 3179(9.2%) were enrolled. Age at onset was &lt;3 days in 51 percent neonates, 19.7% developed in 3-&lt;7days and around 28% developed during 7-27 days. Fifty percent neonates had birth weight &lt;2500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gms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 12.7% had birth weight &lt;1500 grams. Blood culture was positive in 12.3% neonates.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Kleibsiella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 </w:t>
      </w:r>
      <w:proofErr w:type="spellStart"/>
      <w:proofErr w:type="gramStart"/>
      <w:r w:rsidRPr="005C453C">
        <w:rPr>
          <w:rFonts w:eastAsia="Times New Roman" w:cstheme="minorHAnsi"/>
          <w:color w:val="545253"/>
          <w:sz w:val="20"/>
          <w:szCs w:val="20"/>
        </w:rPr>
        <w:t>sp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>(</w:t>
      </w:r>
      <w:proofErr w:type="gramEnd"/>
      <w:r w:rsidRPr="005C453C">
        <w:rPr>
          <w:rFonts w:eastAsia="Times New Roman" w:cstheme="minorHAnsi"/>
          <w:color w:val="545253"/>
          <w:sz w:val="20"/>
          <w:szCs w:val="20"/>
        </w:rPr>
        <w:t>29.2%) was the most common gram negative pathogen followed by E. Coli(12.9</w:t>
      </w:r>
      <w:r w:rsidR="003F3955" w:rsidRPr="005C453C">
        <w:rPr>
          <w:rFonts w:eastAsia="Times New Roman" w:cstheme="minorHAnsi"/>
          <w:color w:val="545253"/>
          <w:sz w:val="20"/>
          <w:szCs w:val="20"/>
        </w:rPr>
        <w:t xml:space="preserve">%). Among gram positive, 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Staph aureus was most </w:t>
      </w:r>
      <w:r w:rsidR="00733090" w:rsidRPr="005C453C">
        <w:rPr>
          <w:rFonts w:eastAsia="Times New Roman" w:cstheme="minorHAnsi"/>
          <w:color w:val="545253"/>
          <w:sz w:val="20"/>
          <w:szCs w:val="20"/>
        </w:rPr>
        <w:t xml:space="preserve">common pathogen </w:t>
      </w:r>
      <w:proofErr w:type="gramStart"/>
      <w:r w:rsidR="00733090" w:rsidRPr="005C453C">
        <w:rPr>
          <w:rFonts w:eastAsia="Times New Roman" w:cstheme="minorHAnsi"/>
          <w:color w:val="545253"/>
          <w:sz w:val="20"/>
          <w:szCs w:val="20"/>
        </w:rPr>
        <w:t>isolated(</w:t>
      </w:r>
      <w:proofErr w:type="gramEnd"/>
      <w:r w:rsidRPr="005C453C">
        <w:rPr>
          <w:rFonts w:eastAsia="Times New Roman" w:cstheme="minorHAnsi"/>
          <w:color w:val="545253"/>
          <w:sz w:val="20"/>
          <w:szCs w:val="20"/>
        </w:rPr>
        <w:t xml:space="preserve">24.8%) followed by CONS(8.3%). Most </w:t>
      </w:r>
      <w:proofErr w:type="gramStart"/>
      <w:r w:rsidRPr="005C453C">
        <w:rPr>
          <w:rFonts w:eastAsia="Times New Roman" w:cstheme="minorHAnsi"/>
          <w:color w:val="545253"/>
          <w:sz w:val="20"/>
          <w:szCs w:val="20"/>
        </w:rPr>
        <w:t>gram negative</w:t>
      </w:r>
      <w:proofErr w:type="gramEnd"/>
      <w:r w:rsidRPr="005C453C">
        <w:rPr>
          <w:rFonts w:eastAsia="Times New Roman" w:cstheme="minorHAnsi"/>
          <w:color w:val="545253"/>
          <w:sz w:val="20"/>
          <w:szCs w:val="20"/>
        </w:rPr>
        <w:t xml:space="preserve"> pathogens were resistant to almost all common antibiotics.</w:t>
      </w:r>
      <w:r w:rsidR="00733090" w:rsidRPr="005C453C">
        <w:rPr>
          <w:rFonts w:eastAsia="Times New Roman" w:cstheme="minorHAnsi"/>
          <w:color w:val="545253"/>
          <w:sz w:val="20"/>
          <w:szCs w:val="20"/>
        </w:rPr>
        <w:t xml:space="preserve"> </w:t>
      </w:r>
      <w:r w:rsidRPr="005C453C">
        <w:rPr>
          <w:rFonts w:eastAsia="Times New Roman" w:cstheme="minorHAnsi"/>
          <w:b/>
          <w:bCs/>
          <w:color w:val="545253"/>
          <w:sz w:val="20"/>
          <w:szCs w:val="20"/>
        </w:rPr>
        <w:t>Conclusion: 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Kleibsiella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spp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 and Staph </w:t>
      </w:r>
      <w:proofErr w:type="spellStart"/>
      <w:r w:rsidRPr="005C453C">
        <w:rPr>
          <w:rFonts w:eastAsia="Times New Roman" w:cstheme="minorHAnsi"/>
          <w:color w:val="545253"/>
          <w:sz w:val="20"/>
          <w:szCs w:val="20"/>
        </w:rPr>
        <w:t>aureaus</w:t>
      </w:r>
      <w:proofErr w:type="spellEnd"/>
      <w:r w:rsidRPr="005C453C">
        <w:rPr>
          <w:rFonts w:eastAsia="Times New Roman" w:cstheme="minorHAnsi"/>
          <w:color w:val="545253"/>
          <w:sz w:val="20"/>
          <w:szCs w:val="20"/>
        </w:rPr>
        <w:t xml:space="preserve"> are major pathogens causing sepsis in secondary level hospitals. </w:t>
      </w:r>
      <w:proofErr w:type="spellStart"/>
      <w:r w:rsidR="00733090" w:rsidRPr="005C453C">
        <w:rPr>
          <w:rFonts w:eastAsia="Times New Roman" w:cstheme="minorHAnsi"/>
          <w:color w:val="545253"/>
          <w:sz w:val="20"/>
          <w:szCs w:val="20"/>
        </w:rPr>
        <w:t>Antimcrobial</w:t>
      </w:r>
      <w:proofErr w:type="spellEnd"/>
      <w:r w:rsidR="00733090" w:rsidRPr="005C453C">
        <w:rPr>
          <w:rFonts w:eastAsia="Times New Roman" w:cstheme="minorHAnsi"/>
          <w:color w:val="545253"/>
          <w:sz w:val="20"/>
          <w:szCs w:val="20"/>
        </w:rPr>
        <w:t xml:space="preserve"> resistance was most frequently seen among gram negative organisms.  Early onset sepsis was more common. 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Further research </w:t>
      </w:r>
      <w:r w:rsidR="00733090" w:rsidRPr="005C453C">
        <w:rPr>
          <w:rFonts w:eastAsia="Times New Roman" w:cstheme="minorHAnsi"/>
          <w:color w:val="545253"/>
          <w:sz w:val="20"/>
          <w:szCs w:val="20"/>
        </w:rPr>
        <w:t xml:space="preserve">is needed </w:t>
      </w:r>
      <w:r w:rsidRPr="005C453C">
        <w:rPr>
          <w:rFonts w:eastAsia="Times New Roman" w:cstheme="minorHAnsi"/>
          <w:color w:val="545253"/>
          <w:sz w:val="20"/>
          <w:szCs w:val="20"/>
        </w:rPr>
        <w:t xml:space="preserve">to identify </w:t>
      </w:r>
      <w:r w:rsidR="00733090" w:rsidRPr="005C453C">
        <w:rPr>
          <w:rFonts w:eastAsia="Times New Roman" w:cstheme="minorHAnsi"/>
          <w:color w:val="545253"/>
          <w:sz w:val="20"/>
          <w:szCs w:val="20"/>
        </w:rPr>
        <w:t>source of infection and risk factors of infection.</w:t>
      </w:r>
    </w:p>
    <w:p w14:paraId="416802EC" w14:textId="448088B5" w:rsidR="00C508AA" w:rsidRPr="005C453C" w:rsidRDefault="005F4C85" w:rsidP="005F4C8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</w:rPr>
      </w:pPr>
      <w:r w:rsidRPr="005C453C">
        <w:rPr>
          <w:rFonts w:eastAsia="Times New Roman" w:cstheme="minorHAnsi"/>
          <w:color w:val="222222"/>
          <w:sz w:val="20"/>
          <w:szCs w:val="20"/>
        </w:rPr>
        <w:t>*ICMR Coordinating Unit N. Delhi: R Rasaily, A Mukherjee. Site investigators: M</w:t>
      </w:r>
      <w:r w:rsidR="00FA5271" w:rsidRPr="005C453C">
        <w:rPr>
          <w:rFonts w:eastAsia="Times New Roman" w:cstheme="minorHAnsi"/>
          <w:color w:val="222222"/>
          <w:sz w:val="20"/>
          <w:szCs w:val="20"/>
        </w:rPr>
        <w:t>ahatma Gandhi Institute of Medical Sciences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 xml:space="preserve"> (MGIMS)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Wardha: BS Garg, SS Gupta, C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Maliye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 xml:space="preserve">,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Vijaysri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 xml:space="preserve">; SSKM Kolkata: T.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Som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>, P Mukherjee; K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ing Georges Medical University (K</w:t>
      </w:r>
      <w:r w:rsidRPr="005C453C">
        <w:rPr>
          <w:rFonts w:eastAsia="Times New Roman" w:cstheme="minorHAnsi"/>
          <w:color w:val="222222"/>
          <w:sz w:val="20"/>
          <w:szCs w:val="20"/>
        </w:rPr>
        <w:t>GMU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Lucknow: SN Singh, J Agarwal; C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hristian Medical College (CM</w:t>
      </w:r>
      <w:r w:rsidRPr="005C453C">
        <w:rPr>
          <w:rFonts w:eastAsia="Times New Roman" w:cstheme="minorHAnsi"/>
          <w:color w:val="222222"/>
          <w:sz w:val="20"/>
          <w:szCs w:val="20"/>
        </w:rPr>
        <w:t>C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Vellore: N Thomas, V Balaji, -; R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ajendra Prasad Medical College (R</w:t>
      </w:r>
      <w:r w:rsidRPr="005C453C">
        <w:rPr>
          <w:rFonts w:eastAsia="Times New Roman" w:cstheme="minorHAnsi"/>
          <w:color w:val="222222"/>
          <w:sz w:val="20"/>
          <w:szCs w:val="20"/>
        </w:rPr>
        <w:t>PMC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Tanda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 xml:space="preserve">: S Choudhury, SC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Jariyal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>; A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ssam Medical College Hospital (A</w:t>
      </w:r>
      <w:r w:rsidRPr="005C453C">
        <w:rPr>
          <w:rFonts w:eastAsia="Times New Roman" w:cstheme="minorHAnsi"/>
          <w:color w:val="222222"/>
          <w:sz w:val="20"/>
          <w:szCs w:val="20"/>
        </w:rPr>
        <w:t>MCH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Dibrugarh: R Bora, L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Saikia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>; AIIMS: A Kapil; R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 xml:space="preserve">egional </w:t>
      </w:r>
      <w:r w:rsidRPr="005C453C">
        <w:rPr>
          <w:rFonts w:eastAsia="Times New Roman" w:cstheme="minorHAnsi"/>
          <w:color w:val="222222"/>
          <w:sz w:val="20"/>
          <w:szCs w:val="20"/>
        </w:rPr>
        <w:t>M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 xml:space="preserve">edical </w:t>
      </w:r>
      <w:r w:rsidRPr="005C453C">
        <w:rPr>
          <w:rFonts w:eastAsia="Times New Roman" w:cstheme="minorHAnsi"/>
          <w:color w:val="222222"/>
          <w:sz w:val="20"/>
          <w:szCs w:val="20"/>
        </w:rPr>
        <w:t>R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 xml:space="preserve">esearch </w:t>
      </w:r>
      <w:r w:rsidRPr="005C453C">
        <w:rPr>
          <w:rFonts w:eastAsia="Times New Roman" w:cstheme="minorHAnsi"/>
          <w:color w:val="222222"/>
          <w:sz w:val="20"/>
          <w:szCs w:val="20"/>
        </w:rPr>
        <w:t>C</w:t>
      </w:r>
      <w:r w:rsidR="00C508AA" w:rsidRPr="005C453C">
        <w:rPr>
          <w:rFonts w:eastAsia="Times New Roman" w:cstheme="minorHAnsi"/>
          <w:color w:val="222222"/>
          <w:sz w:val="20"/>
          <w:szCs w:val="20"/>
        </w:rPr>
        <w:t>enter(RMRC)</w:t>
      </w:r>
      <w:r w:rsidRPr="005C453C">
        <w:rPr>
          <w:rFonts w:eastAsia="Times New Roman" w:cstheme="minorHAnsi"/>
          <w:color w:val="222222"/>
          <w:sz w:val="20"/>
          <w:szCs w:val="20"/>
        </w:rPr>
        <w:t xml:space="preserve"> Dibrugarh: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Borkakoty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 xml:space="preserve">, J Mahanta. </w:t>
      </w:r>
    </w:p>
    <w:p w14:paraId="210A0139" w14:textId="31FC9189" w:rsidR="005F4C85" w:rsidRPr="005C453C" w:rsidRDefault="005F4C85" w:rsidP="005F4C8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</w:rPr>
      </w:pPr>
      <w:r w:rsidRPr="005C453C">
        <w:rPr>
          <w:rFonts w:eastAsia="Times New Roman" w:cstheme="minorHAnsi"/>
          <w:color w:val="222222"/>
          <w:sz w:val="20"/>
          <w:szCs w:val="20"/>
        </w:rPr>
        <w:t xml:space="preserve">Acknowledgement: Members of expert group: HPS Sachdev, VK Paul, S Ramji, NK Arora, P. Ray, A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Ayyagiri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 xml:space="preserve">, A </w:t>
      </w:r>
      <w:proofErr w:type="spellStart"/>
      <w:r w:rsidRPr="005C453C">
        <w:rPr>
          <w:rFonts w:eastAsia="Times New Roman" w:cstheme="minorHAnsi"/>
          <w:color w:val="222222"/>
          <w:sz w:val="20"/>
          <w:szCs w:val="20"/>
        </w:rPr>
        <w:t>Saili</w:t>
      </w:r>
      <w:proofErr w:type="spellEnd"/>
      <w:r w:rsidRPr="005C453C">
        <w:rPr>
          <w:rFonts w:eastAsia="Times New Roman" w:cstheme="minorHAnsi"/>
          <w:color w:val="222222"/>
          <w:sz w:val="20"/>
          <w:szCs w:val="20"/>
        </w:rPr>
        <w:t>, J Shankar</w:t>
      </w:r>
      <w:r w:rsidR="003030F6" w:rsidRPr="005C453C">
        <w:rPr>
          <w:rFonts w:eastAsia="Times New Roman" w:cstheme="minorHAnsi"/>
          <w:color w:val="222222"/>
          <w:sz w:val="20"/>
          <w:szCs w:val="20"/>
        </w:rPr>
        <w:t>.</w:t>
      </w:r>
    </w:p>
    <w:p w14:paraId="68727EFA" w14:textId="0B7E33E3" w:rsidR="003030F6" w:rsidRPr="005C453C" w:rsidRDefault="003030F6" w:rsidP="005F4C8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</w:rPr>
      </w:pPr>
    </w:p>
    <w:p w14:paraId="37C51043" w14:textId="5C64CDFD" w:rsidR="003030F6" w:rsidRPr="005C453C" w:rsidRDefault="003030F6" w:rsidP="003030F6">
      <w:pPr>
        <w:jc w:val="both"/>
        <w:rPr>
          <w:rFonts w:cstheme="minorHAnsi"/>
          <w:sz w:val="20"/>
          <w:szCs w:val="20"/>
        </w:rPr>
      </w:pPr>
      <w:r w:rsidRPr="005C453C">
        <w:rPr>
          <w:rFonts w:cstheme="minorHAnsi"/>
          <w:b/>
          <w:sz w:val="20"/>
          <w:szCs w:val="20"/>
        </w:rPr>
        <w:t>Biography</w:t>
      </w:r>
      <w:r w:rsidRPr="005C453C">
        <w:rPr>
          <w:rFonts w:cstheme="minorHAnsi"/>
          <w:b/>
          <w:sz w:val="20"/>
          <w:szCs w:val="20"/>
        </w:rPr>
        <w:t>:</w:t>
      </w:r>
      <w:r w:rsidR="005C453C">
        <w:rPr>
          <w:rFonts w:cstheme="minorHAnsi"/>
          <w:b/>
          <w:sz w:val="20"/>
          <w:szCs w:val="20"/>
        </w:rPr>
        <w:t xml:space="preserve"> </w:t>
      </w:r>
      <w:r w:rsidRPr="005C453C">
        <w:rPr>
          <w:rFonts w:cstheme="minorHAnsi"/>
          <w:sz w:val="20"/>
          <w:szCs w:val="20"/>
        </w:rPr>
        <w:t xml:space="preserve">Dr. Rasaily is a senior </w:t>
      </w:r>
      <w:proofErr w:type="gramStart"/>
      <w:r w:rsidRPr="005C453C">
        <w:rPr>
          <w:rFonts w:cstheme="minorHAnsi"/>
          <w:sz w:val="20"/>
          <w:szCs w:val="20"/>
        </w:rPr>
        <w:t>Scientist  working</w:t>
      </w:r>
      <w:proofErr w:type="gramEnd"/>
      <w:r w:rsidRPr="005C453C">
        <w:rPr>
          <w:rFonts w:cstheme="minorHAnsi"/>
          <w:sz w:val="20"/>
          <w:szCs w:val="20"/>
        </w:rPr>
        <w:t xml:space="preserve"> at Indian Council of Medical Research. She is a </w:t>
      </w:r>
      <w:proofErr w:type="spellStart"/>
      <w:r w:rsidRPr="005C453C">
        <w:rPr>
          <w:rFonts w:cstheme="minorHAnsi"/>
          <w:sz w:val="20"/>
          <w:szCs w:val="20"/>
        </w:rPr>
        <w:t>programe</w:t>
      </w:r>
      <w:proofErr w:type="spellEnd"/>
      <w:r w:rsidRPr="005C453C">
        <w:rPr>
          <w:rFonts w:cstheme="minorHAnsi"/>
          <w:sz w:val="20"/>
          <w:szCs w:val="20"/>
        </w:rPr>
        <w:t xml:space="preserve"> officer for newborn and child health and has been involved in planning, monitoring and coordinating many multicenter studies, both clinical and </w:t>
      </w:r>
      <w:proofErr w:type="gramStart"/>
      <w:r w:rsidRPr="005C453C">
        <w:rPr>
          <w:rFonts w:cstheme="minorHAnsi"/>
          <w:sz w:val="20"/>
          <w:szCs w:val="20"/>
        </w:rPr>
        <w:t>community based</w:t>
      </w:r>
      <w:proofErr w:type="gramEnd"/>
      <w:r w:rsidRPr="005C453C">
        <w:rPr>
          <w:rFonts w:cstheme="minorHAnsi"/>
          <w:sz w:val="20"/>
          <w:szCs w:val="20"/>
        </w:rPr>
        <w:t xml:space="preserve"> research. </w:t>
      </w:r>
      <w:r w:rsidR="001F354E" w:rsidRPr="005C453C">
        <w:rPr>
          <w:rFonts w:cstheme="minorHAnsi"/>
          <w:sz w:val="20"/>
          <w:szCs w:val="20"/>
        </w:rPr>
        <w:t xml:space="preserve">Major area of research interest is community </w:t>
      </w:r>
      <w:proofErr w:type="spellStart"/>
      <w:r w:rsidR="001F354E" w:rsidRPr="005C453C">
        <w:rPr>
          <w:rFonts w:cstheme="minorHAnsi"/>
          <w:sz w:val="20"/>
          <w:szCs w:val="20"/>
        </w:rPr>
        <w:t>paediatrics</w:t>
      </w:r>
      <w:proofErr w:type="spellEnd"/>
      <w:r w:rsidR="001F354E" w:rsidRPr="005C453C">
        <w:rPr>
          <w:rFonts w:cstheme="minorHAnsi"/>
          <w:sz w:val="20"/>
          <w:szCs w:val="20"/>
        </w:rPr>
        <w:t>, neonatal and childhood infections, home based newborn care.</w:t>
      </w:r>
    </w:p>
    <w:p w14:paraId="55A47000" w14:textId="77777777" w:rsidR="003030F6" w:rsidRPr="005C453C" w:rsidRDefault="003030F6" w:rsidP="003030F6">
      <w:pPr>
        <w:jc w:val="both"/>
        <w:rPr>
          <w:rFonts w:cstheme="minorHAnsi"/>
          <w:sz w:val="20"/>
          <w:szCs w:val="20"/>
        </w:rPr>
      </w:pPr>
    </w:p>
    <w:p w14:paraId="25214680" w14:textId="77777777" w:rsidR="005C453C" w:rsidRDefault="003030F6" w:rsidP="003030F6">
      <w:pPr>
        <w:autoSpaceDE w:val="0"/>
        <w:autoSpaceDN w:val="0"/>
        <w:adjustRightInd w:val="0"/>
        <w:rPr>
          <w:rFonts w:cstheme="minorHAnsi"/>
          <w:sz w:val="20"/>
          <w:szCs w:val="20"/>
          <w:lang w:val="en-NZ"/>
        </w:rPr>
      </w:pPr>
      <w:r w:rsidRPr="005C453C">
        <w:rPr>
          <w:rFonts w:cstheme="minorHAnsi"/>
          <w:b/>
          <w:sz w:val="20"/>
          <w:szCs w:val="20"/>
          <w:lang w:val="en-NZ"/>
        </w:rPr>
        <w:t xml:space="preserve">Presenting author details </w:t>
      </w:r>
      <w:r w:rsidRPr="005C453C">
        <w:rPr>
          <w:rFonts w:cstheme="minorHAnsi"/>
          <w:b/>
          <w:sz w:val="20"/>
          <w:szCs w:val="20"/>
          <w:lang w:val="en-NZ"/>
        </w:rPr>
        <w:br/>
      </w:r>
      <w:r w:rsidRPr="005C453C">
        <w:rPr>
          <w:rFonts w:cstheme="minorHAnsi"/>
          <w:sz w:val="20"/>
          <w:szCs w:val="20"/>
          <w:lang w:val="en-NZ"/>
        </w:rPr>
        <w:t xml:space="preserve">Full name: </w:t>
      </w:r>
      <w:proofErr w:type="spellStart"/>
      <w:r w:rsidRPr="005C453C">
        <w:rPr>
          <w:rFonts w:cstheme="minorHAnsi"/>
          <w:sz w:val="20"/>
          <w:szCs w:val="20"/>
          <w:lang w:val="en-NZ"/>
        </w:rPr>
        <w:t>Dr.</w:t>
      </w:r>
      <w:proofErr w:type="spellEnd"/>
      <w:r w:rsidRPr="005C453C">
        <w:rPr>
          <w:rFonts w:cstheme="minorHAnsi"/>
          <w:sz w:val="20"/>
          <w:szCs w:val="20"/>
          <w:lang w:val="en-NZ"/>
        </w:rPr>
        <w:t xml:space="preserve"> Reeta Rasaily</w:t>
      </w:r>
      <w:r w:rsidRPr="005C453C">
        <w:rPr>
          <w:rFonts w:cstheme="minorHAnsi"/>
          <w:sz w:val="20"/>
          <w:szCs w:val="20"/>
          <w:lang w:val="en-NZ"/>
        </w:rPr>
        <w:br/>
        <w:t>Contact number:</w:t>
      </w:r>
      <w:r w:rsidRPr="005C453C">
        <w:rPr>
          <w:rFonts w:cstheme="minorHAnsi"/>
          <w:sz w:val="20"/>
          <w:szCs w:val="20"/>
          <w:lang w:val="en-NZ"/>
        </w:rPr>
        <w:t xml:space="preserve"> 91-11-9818635958</w:t>
      </w:r>
      <w:r w:rsidRPr="005C453C">
        <w:rPr>
          <w:rFonts w:cstheme="minorHAnsi"/>
          <w:sz w:val="20"/>
          <w:szCs w:val="20"/>
          <w:lang w:val="en-NZ"/>
        </w:rPr>
        <w:br/>
        <w:t>Twitter account:</w:t>
      </w:r>
      <w:r w:rsidRPr="005C453C">
        <w:rPr>
          <w:rFonts w:cstheme="minorHAnsi"/>
          <w:sz w:val="20"/>
          <w:szCs w:val="20"/>
          <w:lang w:val="en-NZ"/>
        </w:rPr>
        <w:br/>
        <w:t>Linked In account:</w:t>
      </w:r>
    </w:p>
    <w:p w14:paraId="7CCBF28A" w14:textId="73E14BAE" w:rsidR="003030F6" w:rsidRPr="005C453C" w:rsidRDefault="003030F6" w:rsidP="003030F6">
      <w:pPr>
        <w:autoSpaceDE w:val="0"/>
        <w:autoSpaceDN w:val="0"/>
        <w:adjustRightInd w:val="0"/>
        <w:rPr>
          <w:rFonts w:cstheme="minorHAnsi"/>
          <w:sz w:val="20"/>
          <w:szCs w:val="20"/>
          <w:lang w:val="en-NZ"/>
        </w:rPr>
      </w:pPr>
      <w:r w:rsidRPr="005C453C">
        <w:rPr>
          <w:rFonts w:cstheme="minorHAnsi"/>
          <w:sz w:val="20"/>
          <w:szCs w:val="20"/>
          <w:lang w:val="en-NZ"/>
        </w:rPr>
        <w:t>Session name/ number:</w:t>
      </w:r>
      <w:r w:rsidRPr="005C453C">
        <w:rPr>
          <w:rFonts w:cstheme="minorHAnsi"/>
          <w:sz w:val="20"/>
          <w:szCs w:val="20"/>
          <w:lang w:val="en-NZ"/>
        </w:rPr>
        <w:br/>
        <w:t>Category: (Oral presentation/ Poster presentation)</w:t>
      </w:r>
      <w:r w:rsidRPr="005C453C">
        <w:rPr>
          <w:rFonts w:cstheme="minorHAnsi"/>
          <w:sz w:val="20"/>
          <w:szCs w:val="20"/>
          <w:lang w:val="en-NZ"/>
        </w:rPr>
        <w:t xml:space="preserve"> Oral presentation</w:t>
      </w:r>
      <w:r w:rsidRPr="005C453C">
        <w:rPr>
          <w:rFonts w:cstheme="minorHAnsi"/>
          <w:sz w:val="20"/>
          <w:szCs w:val="20"/>
          <w:lang w:val="en-NZ"/>
        </w:rPr>
        <w:br/>
      </w:r>
    </w:p>
    <w:p w14:paraId="039930A2" w14:textId="77777777" w:rsidR="003030F6" w:rsidRPr="005C453C" w:rsidRDefault="003030F6" w:rsidP="005F4C8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</w:rPr>
      </w:pPr>
    </w:p>
    <w:p w14:paraId="3BC21E1D" w14:textId="77777777" w:rsidR="005F4C85" w:rsidRPr="005C453C" w:rsidRDefault="005F4C85" w:rsidP="0073309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</w:p>
    <w:sectPr w:rsidR="005F4C85" w:rsidRPr="005C4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F73"/>
    <w:rsid w:val="001F354E"/>
    <w:rsid w:val="002D2D0B"/>
    <w:rsid w:val="003030F6"/>
    <w:rsid w:val="003A7391"/>
    <w:rsid w:val="003F3955"/>
    <w:rsid w:val="004126F7"/>
    <w:rsid w:val="004B0BA6"/>
    <w:rsid w:val="005C453C"/>
    <w:rsid w:val="005F4C85"/>
    <w:rsid w:val="006A6F73"/>
    <w:rsid w:val="006C653C"/>
    <w:rsid w:val="00733090"/>
    <w:rsid w:val="008D50DD"/>
    <w:rsid w:val="00C508AA"/>
    <w:rsid w:val="00FA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02B68"/>
  <w15:chartTrackingRefBased/>
  <w15:docId w15:val="{D64E507F-BB13-46D8-89D1-DFC2A6D2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Reeta Rasaily</dc:creator>
  <cp:keywords/>
  <dc:description/>
  <cp:lastModifiedBy>Reeta Rasaily</cp:lastModifiedBy>
  <cp:revision>2</cp:revision>
  <dcterms:created xsi:type="dcterms:W3CDTF">2018-04-12T17:56:00Z</dcterms:created>
  <dcterms:modified xsi:type="dcterms:W3CDTF">2018-04-12T17:56:00Z</dcterms:modified>
</cp:coreProperties>
</file>