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0"/>
      </w:pPr>
      <w:r>
        <w:t>窗体顶端</w:t>
      </w:r>
    </w:p>
    <w:p>
      <w:pPr>
        <w:pStyle w:val="2"/>
        <w:keepNext w:val="0"/>
        <w:keepLines w:val="0"/>
        <w:widowControl/>
        <w:suppressLineNumbers w:val="0"/>
      </w:pPr>
      <w:r>
        <w:t xml:space="preserve">Immune response induced by oral delivery of </w:t>
      </w:r>
      <w:r>
        <w:rPr>
          <w:i/>
          <w:iCs/>
        </w:rPr>
        <w:t>Bacillus subtilis</w:t>
      </w:r>
      <w:r>
        <w:t xml:space="preserve"> spores expressing enolase of </w:t>
      </w:r>
      <w:r>
        <w:rPr>
          <w:i/>
          <w:iCs/>
        </w:rPr>
        <w:t>Clonorchis sinensis</w:t>
      </w:r>
      <w:r>
        <w:t xml:space="preserve"> in grass carps (</w:t>
      </w:r>
      <w:r>
        <w:rPr>
          <w:i/>
          <w:iCs/>
        </w:rPr>
        <w:t>Ctenopharyngodon idellus</w:t>
      </w:r>
      <w:r>
        <w:t>).</w:t>
      </w:r>
    </w:p>
    <w:p>
      <w:pPr>
        <w:pStyle w:val="31"/>
      </w:pPr>
      <w:r>
        <w:t>窗体底端</w:t>
      </w:r>
    </w:p>
    <w:p/>
    <w:p>
      <w:pPr>
        <w:pStyle w:val="5"/>
        <w:spacing w:before="73" w:line="198" w:lineRule="exact"/>
        <w:ind w:left="100" w:right="5987"/>
        <w:rPr>
          <w:rFonts w:hint="eastAsia" w:ascii="Arial" w:eastAsia="宋体"/>
          <w:lang w:val="en-US" w:eastAsia="zh-CN"/>
        </w:rPr>
        <w:sectPr>
          <w:headerReference r:id="rId3" w:type="default"/>
          <w:footerReference r:id="rId4" w:type="default"/>
          <w:type w:val="continuous"/>
          <w:pgSz w:w="11910" w:h="16840"/>
          <w:pgMar w:top="1740" w:right="600" w:bottom="840" w:left="620" w:header="541" w:footer="642" w:gutter="0"/>
          <w:cols w:space="720" w:num="1"/>
        </w:sectPr>
      </w:pPr>
    </w:p>
    <w:p>
      <w:pPr>
        <w:pStyle w:val="5"/>
        <w:spacing w:before="73" w:line="198" w:lineRule="exact"/>
        <w:ind w:left="100" w:right="5987"/>
        <w:rPr>
          <w:rFonts w:hint="eastAsia" w:ascii="Arial" w:eastAsia="宋体"/>
          <w:lang w:val="en-US" w:eastAsia="zh-CN"/>
        </w:rPr>
      </w:pPr>
      <w:r>
        <w:rPr>
          <w:rFonts w:hint="eastAsia" w:ascii="Arial" w:eastAsia="宋体"/>
          <w:lang w:val="en-US" w:eastAsia="zh-CN"/>
        </w:rPr>
        <w:t>Hongye Jiang</w:t>
      </w:r>
      <w:r>
        <w:rPr>
          <w:rFonts w:ascii="Arial"/>
        </w:rPr>
        <w:t>, PhD</w:t>
      </w:r>
      <w:r>
        <w:rPr>
          <w:rFonts w:hint="eastAsia" w:ascii="Arial" w:eastAsia="宋体"/>
          <w:lang w:val="en-US" w:eastAsia="zh-CN"/>
        </w:rPr>
        <w:t xml:space="preserve"> candidate</w:t>
      </w:r>
      <w:r>
        <w:rPr>
          <w:rFonts w:ascii="Arial"/>
        </w:rPr>
        <w:t xml:space="preserve">, </w:t>
      </w:r>
      <w:r>
        <w:rPr>
          <w:rFonts w:hint="eastAsia" w:ascii="Arial" w:eastAsia="宋体"/>
          <w:lang w:val="en-US" w:eastAsia="zh-CN"/>
        </w:rPr>
        <w:t>Sun Yat-sen University</w:t>
      </w:r>
      <w:r>
        <w:rPr>
          <w:rFonts w:ascii="Arial"/>
        </w:rPr>
        <w:t>,</w:t>
      </w:r>
      <w:r>
        <w:rPr>
          <w:rFonts w:hint="eastAsia" w:ascii="Arial" w:eastAsia="宋体"/>
          <w:lang w:val="en-US" w:eastAsia="zh-CN"/>
        </w:rPr>
        <w:t xml:space="preserve"> P.R. China</w:t>
      </w:r>
    </w:p>
    <w:p>
      <w:pPr>
        <w:pStyle w:val="5"/>
        <w:spacing w:before="3"/>
        <w:rPr>
          <w:rFonts w:ascii="Arial"/>
        </w:rPr>
        <w:sectPr>
          <w:type w:val="continuous"/>
          <w:pgSz w:w="11910" w:h="16840"/>
          <w:pgMar w:top="1740" w:right="600" w:bottom="840" w:left="620" w:header="541" w:footer="642" w:gutter="0"/>
          <w:cols w:space="720" w:num="1"/>
        </w:sectPr>
      </w:pPr>
    </w:p>
    <w:p>
      <w:pPr>
        <w:pStyle w:val="5"/>
        <w:spacing w:before="3"/>
        <w:rPr>
          <w:rFonts w:ascii="Arial"/>
          <w:sz w:val="21"/>
        </w:rPr>
      </w:pPr>
      <w:r>
        <w:rPr>
          <w:rFonts w:ascii="Arial"/>
        </w:rPr>
        <w:t xml:space="preserve"> </w:t>
      </w:r>
    </w:p>
    <w:p>
      <w:pPr>
        <w:rPr>
          <w:rFonts w:ascii="Arial"/>
          <w:sz w:val="21"/>
        </w:rPr>
        <w:sectPr>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pStyle w:val="30"/>
      </w:pPr>
      <w:r>
        <w:t>窗体顶端</w:t>
      </w:r>
    </w:p>
    <w:p>
      <w:pPr>
        <w:pStyle w:val="9"/>
        <w:keepNext w:val="0"/>
        <w:keepLines w:val="0"/>
        <w:pageBreakBefore w:val="0"/>
        <w:widowControl/>
        <w:suppressLineNumbers w:val="0"/>
        <w:kinsoku/>
        <w:wordWrap/>
        <w:overflowPunct/>
        <w:topLinePunct w:val="0"/>
        <w:autoSpaceDE/>
        <w:autoSpaceDN/>
        <w:bidi w:val="0"/>
        <w:adjustRightInd/>
        <w:snapToGrid/>
        <w:spacing w:before="0" w:beforeLines="100" w:beforeAutospacing="0" w:after="0" w:afterAutospacing="0" w:line="360" w:lineRule="auto"/>
        <w:ind w:left="0" w:leftChars="0" w:right="0" w:rightChars="0" w:firstLine="0" w:firstLineChars="0"/>
        <w:jc w:val="left"/>
        <w:textAlignment w:val="auto"/>
        <w:outlineLvl w:val="9"/>
        <w:rPr>
          <w:sz w:val="18"/>
          <w:szCs w:val="18"/>
        </w:rPr>
      </w:pPr>
      <w:r>
        <w:rPr>
          <w:sz w:val="18"/>
          <w:szCs w:val="18"/>
        </w:rPr>
        <w:t xml:space="preserve">Clonorchiasis, caused by the consumption of raw or undercooked freshwater fish containing infective metacercariae of </w:t>
      </w:r>
      <w:r>
        <w:rPr>
          <w:i/>
          <w:iCs/>
          <w:sz w:val="18"/>
          <w:szCs w:val="18"/>
        </w:rPr>
        <w:t>Clonorchis sinensisis</w:t>
      </w:r>
      <w:r>
        <w:rPr>
          <w:sz w:val="18"/>
          <w:szCs w:val="18"/>
        </w:rPr>
        <w:t xml:space="preserve"> (</w:t>
      </w:r>
      <w:r>
        <w:rPr>
          <w:i/>
          <w:iCs/>
          <w:sz w:val="18"/>
          <w:szCs w:val="18"/>
        </w:rPr>
        <w:t>C.sinensis</w:t>
      </w:r>
      <w:r>
        <w:rPr>
          <w:sz w:val="18"/>
          <w:szCs w:val="18"/>
        </w:rPr>
        <w:t xml:space="preserve">), remains a common public health problem. New effective prevention strategies are still urgent to control this food-borne infectious disease. The previous studies suggested </w:t>
      </w:r>
      <w:r>
        <w:rPr>
          <w:i/>
          <w:iCs/>
          <w:sz w:val="18"/>
          <w:szCs w:val="18"/>
        </w:rPr>
        <w:t>Bacillus subtilis</w:t>
      </w:r>
      <w:r>
        <w:rPr>
          <w:sz w:val="18"/>
          <w:szCs w:val="18"/>
        </w:rPr>
        <w:t xml:space="preserve"> (</w:t>
      </w:r>
      <w:r>
        <w:rPr>
          <w:i/>
          <w:iCs/>
          <w:sz w:val="18"/>
          <w:szCs w:val="18"/>
        </w:rPr>
        <w:t>B. subtilis</w:t>
      </w:r>
      <w:r>
        <w:rPr>
          <w:sz w:val="18"/>
          <w:szCs w:val="18"/>
        </w:rPr>
        <w:t xml:space="preserve">) spores was an ideal vaccines delivery system, and the </w:t>
      </w:r>
      <w:r>
        <w:rPr>
          <w:i/>
          <w:iCs/>
          <w:sz w:val="18"/>
          <w:szCs w:val="18"/>
        </w:rPr>
        <w:t>C.sinensis</w:t>
      </w:r>
      <w:r>
        <w:rPr>
          <w:sz w:val="18"/>
          <w:szCs w:val="18"/>
        </w:rPr>
        <w:t xml:space="preserve"> enolase (</w:t>
      </w:r>
      <w:r>
        <w:rPr>
          <w:i/>
          <w:iCs/>
          <w:sz w:val="18"/>
          <w:szCs w:val="18"/>
        </w:rPr>
        <w:t>Cs</w:t>
      </w:r>
      <w:r>
        <w:rPr>
          <w:sz w:val="18"/>
          <w:szCs w:val="18"/>
        </w:rPr>
        <w:t xml:space="preserve">ENO) was a potential vaccine candidate against clonorchiasis. In the current study, we detected </w:t>
      </w:r>
      <w:r>
        <w:rPr>
          <w:i/>
          <w:iCs/>
          <w:sz w:val="18"/>
          <w:szCs w:val="18"/>
        </w:rPr>
        <w:t>Cs</w:t>
      </w:r>
      <w:r>
        <w:rPr>
          <w:sz w:val="18"/>
          <w:szCs w:val="18"/>
        </w:rPr>
        <w:t>ENO-specific IgM levels by ELISA in sera, intestinal mucus and skin mucus in grass carps (</w:t>
      </w:r>
      <w:r>
        <w:rPr>
          <w:i/>
          <w:iCs/>
          <w:sz w:val="18"/>
          <w:szCs w:val="18"/>
        </w:rPr>
        <w:t>Ctenopharyngodon idella</w:t>
      </w:r>
      <w:r>
        <w:rPr>
          <w:sz w:val="18"/>
          <w:szCs w:val="18"/>
        </w:rPr>
        <w:t xml:space="preserve">) through oral administration with </w:t>
      </w:r>
      <w:r>
        <w:rPr>
          <w:i/>
          <w:iCs/>
          <w:sz w:val="18"/>
          <w:szCs w:val="18"/>
        </w:rPr>
        <w:t>B. subtilis</w:t>
      </w:r>
      <w:r>
        <w:rPr>
          <w:sz w:val="18"/>
          <w:szCs w:val="18"/>
        </w:rPr>
        <w:t xml:space="preserve"> spores surface expressing </w:t>
      </w:r>
      <w:r>
        <w:rPr>
          <w:i/>
          <w:iCs/>
          <w:sz w:val="18"/>
          <w:szCs w:val="18"/>
        </w:rPr>
        <w:t>Cs</w:t>
      </w:r>
      <w:r>
        <w:rPr>
          <w:sz w:val="18"/>
          <w:szCs w:val="18"/>
        </w:rPr>
        <w:t xml:space="preserve">ENO. In addition, immune-related genes expression was also measured by qRT-PCR. Grass carps orally treated with </w:t>
      </w:r>
      <w:r>
        <w:rPr>
          <w:i/>
          <w:iCs/>
          <w:sz w:val="18"/>
          <w:szCs w:val="18"/>
        </w:rPr>
        <w:t>B. subtilis</w:t>
      </w:r>
      <w:r>
        <w:rPr>
          <w:sz w:val="18"/>
          <w:szCs w:val="18"/>
        </w:rPr>
        <w:t xml:space="preserve"> spores or normal forages were used as controls. The results of ELISA manifested that specific IgM levels of grass carps in </w:t>
      </w:r>
      <w:r>
        <w:rPr>
          <w:i/>
          <w:iCs/>
          <w:sz w:val="18"/>
          <w:szCs w:val="18"/>
        </w:rPr>
        <w:t>Cs</w:t>
      </w:r>
      <w:r>
        <w:rPr>
          <w:sz w:val="18"/>
          <w:szCs w:val="18"/>
        </w:rPr>
        <w:t xml:space="preserve">ENO group in sera, intestine mucus and skin mucus almost significantly increased from week 4 post the first oral administration when compared to the two control groups. The levels of specific IgM reached its peak in intestine mucus firstly, then in sera, and last in skin mucus. qRT-PCR results showed that 5 immune-related genes expression had different degree of rising trend in </w:t>
      </w:r>
      <w:r>
        <w:rPr>
          <w:i/>
          <w:iCs/>
          <w:sz w:val="18"/>
          <w:szCs w:val="18"/>
        </w:rPr>
        <w:t>Cs</w:t>
      </w:r>
      <w:r>
        <w:rPr>
          <w:sz w:val="18"/>
          <w:szCs w:val="18"/>
        </w:rPr>
        <w:t xml:space="preserve">ENO group when compared to the two control groups. Our study demonstrated that orally administrated with </w:t>
      </w:r>
      <w:r>
        <w:rPr>
          <w:i/>
          <w:iCs/>
          <w:sz w:val="18"/>
          <w:szCs w:val="18"/>
        </w:rPr>
        <w:t>B. subtilis</w:t>
      </w:r>
      <w:r>
        <w:rPr>
          <w:sz w:val="18"/>
          <w:szCs w:val="18"/>
        </w:rPr>
        <w:t xml:space="preserve"> spores expressing </w:t>
      </w:r>
      <w:r>
        <w:rPr>
          <w:i/>
          <w:iCs/>
          <w:sz w:val="18"/>
          <w:szCs w:val="18"/>
        </w:rPr>
        <w:t>Cs</w:t>
      </w:r>
      <w:r>
        <w:rPr>
          <w:sz w:val="18"/>
          <w:szCs w:val="18"/>
        </w:rPr>
        <w:t xml:space="preserve">ENO induced innate and adaptive immunity, systemic and local mucosal immunity, and humoral and cellular immunity. Our work may pave the way to clarify the exact mechanisms of protective efficacy elicited by </w:t>
      </w:r>
      <w:r>
        <w:rPr>
          <w:i/>
          <w:iCs/>
          <w:sz w:val="18"/>
          <w:szCs w:val="18"/>
        </w:rPr>
        <w:t>B. subtilis</w:t>
      </w:r>
      <w:r>
        <w:rPr>
          <w:sz w:val="18"/>
          <w:szCs w:val="18"/>
        </w:rPr>
        <w:t xml:space="preserve"> spores expressing </w:t>
      </w:r>
      <w:r>
        <w:rPr>
          <w:i/>
          <w:iCs/>
          <w:sz w:val="18"/>
          <w:szCs w:val="18"/>
        </w:rPr>
        <w:t>Cs</w:t>
      </w:r>
      <w:r>
        <w:rPr>
          <w:sz w:val="18"/>
          <w:szCs w:val="18"/>
        </w:rPr>
        <w:t xml:space="preserve">ENO and provide new ideas for vaccine development against </w:t>
      </w:r>
      <w:r>
        <w:rPr>
          <w:i/>
          <w:iCs/>
          <w:sz w:val="18"/>
          <w:szCs w:val="18"/>
        </w:rPr>
        <w:t>C. sinensis</w:t>
      </w:r>
      <w:r>
        <w:rPr>
          <w:sz w:val="18"/>
          <w:szCs w:val="18"/>
        </w:rPr>
        <w:t xml:space="preserve"> infection.</w:t>
      </w:r>
    </w:p>
    <w:p>
      <w:pPr>
        <w:pStyle w:val="31"/>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0" w:firstLineChars="0"/>
        <w:jc w:val="left"/>
        <w:textAlignment w:val="auto"/>
      </w:pPr>
      <w:r>
        <w:t>窗体底端</w:t>
      </w:r>
    </w:p>
    <w:p>
      <w:pPr>
        <w:pStyle w:val="4"/>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0" w:firstLineChars="0"/>
        <w:jc w:val="left"/>
        <w:textAlignment w:val="auto"/>
      </w:pPr>
      <w:r>
        <w:rPr>
          <w:b w:val="0"/>
        </w:rPr>
        <w:br w:type="column"/>
      </w:r>
      <w:r>
        <w:rPr>
          <w:color w:val="BF5A14"/>
        </w:rPr>
        <w:t>Image</w:t>
      </w:r>
    </w:p>
    <w:p>
      <w:pPr>
        <w:pStyle w:val="5"/>
        <w:spacing w:before="2"/>
        <w:rPr>
          <w:rFonts w:ascii="Arial"/>
          <w:b/>
          <w:sz w:val="16"/>
        </w:rPr>
      </w:pPr>
    </w:p>
    <w:p>
      <w:pPr>
        <w:spacing w:line="204" w:lineRule="exact"/>
        <w:rPr>
          <w:rFonts w:ascii="Arial"/>
          <w:b/>
          <w:color w:val="BF5A14"/>
          <w:sz w:val="20"/>
        </w:rPr>
      </w:pPr>
      <w:r>
        <w:rPr>
          <w:rFonts w:ascii="Arial"/>
          <w:b/>
          <w:color w:val="BF5A14"/>
          <w:sz w:val="20"/>
        </w:rPr>
        <w:br w:type="textWrapping"/>
      </w:r>
      <w:r>
        <w:rPr>
          <w:rFonts w:ascii="Arial"/>
          <w:b/>
          <w:color w:val="BF5A14"/>
          <w:sz w:val="20"/>
        </w:rPr>
        <w:t>Recent Publications (minimum 5)</w:t>
      </w:r>
    </w:p>
    <w:p>
      <w:pPr>
        <w:spacing w:line="204" w:lineRule="exact"/>
        <w:rPr>
          <w:rFonts w:ascii="Arial"/>
          <w:b/>
          <w:color w:val="BF5A14"/>
          <w:sz w:val="20"/>
          <w:lang w:val="en-US" w:eastAsia="en-US"/>
        </w:rPr>
      </w:pPr>
    </w:p>
    <w:p>
      <w:pPr>
        <w:pStyle w:val="14"/>
        <w:numPr>
          <w:ilvl w:val="0"/>
          <w:numId w:val="1"/>
        </w:numPr>
        <w:tabs>
          <w:tab w:val="left" w:pos="384"/>
        </w:tabs>
        <w:spacing w:before="92" w:line="218" w:lineRule="exact"/>
        <w:ind w:hanging="283"/>
        <w:rPr>
          <w:rFonts w:ascii="Calibri" w:hAnsi="Calibri" w:eastAsia="Calibri" w:cs="Calibri"/>
          <w:sz w:val="18"/>
          <w:szCs w:val="22"/>
          <w:lang w:val="en-US" w:eastAsia="en-US" w:bidi="ar-SA"/>
        </w:rPr>
      </w:pPr>
      <w:r>
        <w:rPr>
          <w:rFonts w:ascii="Calibri" w:hAnsi="Calibri" w:eastAsia="Calibri" w:cs="Calibri"/>
          <w:b w:val="0"/>
          <w:bCs w:val="0"/>
          <w:sz w:val="18"/>
          <w:szCs w:val="22"/>
          <w:lang w:val="en-US" w:eastAsia="en-US" w:bidi="ar-SA"/>
        </w:rPr>
        <w:t>Jiang H, Chen T, Sun H, Tang Z, Yu J, Lin Z, Ren P, Zhou X, Huang Y, Li X, Yu X.</w:t>
      </w:r>
      <w:r>
        <w:rPr>
          <w:rFonts w:hint="eastAsia" w:ascii="Calibri" w:hAnsi="Calibri" w:eastAsia="Calibri" w:cs="Calibri"/>
          <w:b w:val="0"/>
          <w:bCs w:val="0"/>
          <w:sz w:val="18"/>
          <w:szCs w:val="22"/>
          <w:lang w:val="en-US" w:eastAsia="zh-CN" w:bidi="ar-SA"/>
        </w:rPr>
        <w:t xml:space="preserve"> </w:t>
      </w:r>
      <w:r>
        <w:rPr>
          <w:rFonts w:ascii="Calibri" w:hAnsi="Calibri" w:eastAsia="Calibri" w:cs="Calibri"/>
          <w:b w:val="0"/>
          <w:bCs w:val="0"/>
          <w:sz w:val="18"/>
          <w:szCs w:val="22"/>
          <w:lang w:val="en-US" w:eastAsia="en-US" w:bidi="ar-SA"/>
        </w:rPr>
        <w:t xml:space="preserve">Immune response induced by oral delivery of </w:t>
      </w:r>
      <w:r>
        <w:rPr>
          <w:rFonts w:ascii="Calibri" w:hAnsi="Calibri" w:eastAsia="Calibri" w:cs="Calibri"/>
          <w:b w:val="0"/>
          <w:bCs w:val="0"/>
          <w:i/>
          <w:iCs/>
          <w:sz w:val="18"/>
          <w:szCs w:val="22"/>
          <w:lang w:val="en-US" w:eastAsia="en-US" w:bidi="ar-SA"/>
        </w:rPr>
        <w:t>Bacillus subtilis</w:t>
      </w:r>
      <w:r>
        <w:rPr>
          <w:rFonts w:ascii="Calibri" w:hAnsi="Calibri" w:eastAsia="Calibri" w:cs="Calibri"/>
          <w:b w:val="0"/>
          <w:bCs w:val="0"/>
          <w:sz w:val="18"/>
          <w:szCs w:val="22"/>
          <w:lang w:val="en-US" w:eastAsia="en-US" w:bidi="ar-SA"/>
        </w:rPr>
        <w:t xml:space="preserve"> spores expressing enolase of </w:t>
      </w:r>
      <w:r>
        <w:rPr>
          <w:rFonts w:ascii="Calibri" w:hAnsi="Calibri" w:eastAsia="Calibri" w:cs="Calibri"/>
          <w:b w:val="0"/>
          <w:bCs w:val="0"/>
          <w:i/>
          <w:iCs/>
          <w:sz w:val="18"/>
          <w:szCs w:val="22"/>
          <w:lang w:val="en-US" w:eastAsia="en-US" w:bidi="ar-SA"/>
        </w:rPr>
        <w:t>Clonorchis sinensis</w:t>
      </w:r>
      <w:r>
        <w:rPr>
          <w:rFonts w:ascii="Calibri" w:hAnsi="Calibri" w:eastAsia="Calibri" w:cs="Calibri"/>
          <w:b w:val="0"/>
          <w:bCs w:val="0"/>
          <w:sz w:val="18"/>
          <w:szCs w:val="22"/>
          <w:lang w:val="en-US" w:eastAsia="en-US" w:bidi="ar-SA"/>
        </w:rPr>
        <w:t xml:space="preserve"> in grass carps (</w:t>
      </w:r>
      <w:r>
        <w:rPr>
          <w:rFonts w:ascii="Calibri" w:hAnsi="Calibri" w:eastAsia="Calibri" w:cs="Calibri"/>
          <w:b w:val="0"/>
          <w:bCs w:val="0"/>
          <w:i/>
          <w:iCs/>
          <w:sz w:val="18"/>
          <w:szCs w:val="22"/>
          <w:lang w:val="en-US" w:eastAsia="en-US" w:bidi="ar-SA"/>
        </w:rPr>
        <w:t>Ctenopharyngodon idellus</w:t>
      </w:r>
      <w:r>
        <w:rPr>
          <w:rFonts w:ascii="Calibri" w:hAnsi="Calibri" w:eastAsia="Calibri" w:cs="Calibri"/>
          <w:b w:val="0"/>
          <w:bCs w:val="0"/>
          <w:sz w:val="18"/>
          <w:szCs w:val="22"/>
          <w:lang w:val="en-US" w:eastAsia="en-US" w:bidi="ar-SA"/>
        </w:rPr>
        <w:t>).</w:t>
      </w:r>
      <w:r>
        <w:rPr>
          <w:rFonts w:hint="eastAsia" w:eastAsia="宋体" w:cs="Calibri"/>
          <w:b w:val="0"/>
          <w:bCs w:val="0"/>
          <w:sz w:val="18"/>
          <w:szCs w:val="22"/>
          <w:lang w:val="en-US" w:eastAsia="zh-CN" w:bidi="ar-SA"/>
        </w:rPr>
        <w:t xml:space="preserve"> </w:t>
      </w:r>
      <w:r>
        <w:rPr>
          <w:i/>
          <w:iCs/>
          <w:sz w:val="18"/>
        </w:rPr>
        <w:t>Fish Shellfish Immunol</w:t>
      </w:r>
      <w:r>
        <w:rPr>
          <w:sz w:val="18"/>
        </w:rPr>
        <w:t>. 2017 Jan;60:318-325. doi: 10.1016/j.fsi.2016.10.011.</w:t>
      </w:r>
    </w:p>
    <w:p>
      <w:pPr>
        <w:pStyle w:val="14"/>
        <w:numPr>
          <w:ilvl w:val="0"/>
          <w:numId w:val="1"/>
        </w:numPr>
        <w:tabs>
          <w:tab w:val="left" w:pos="384"/>
        </w:tabs>
        <w:spacing w:before="92" w:line="218" w:lineRule="exact"/>
        <w:ind w:hanging="283"/>
        <w:rPr>
          <w:rFonts w:ascii="Calibri" w:hAnsi="Calibri" w:eastAsia="Calibri" w:cs="Calibri"/>
          <w:b w:val="0"/>
          <w:bCs w:val="0"/>
          <w:sz w:val="18"/>
          <w:szCs w:val="22"/>
          <w:lang w:val="en-US" w:eastAsia="en-US" w:bidi="ar-SA"/>
        </w:rPr>
      </w:pPr>
      <w:r>
        <w:rPr>
          <w:rFonts w:ascii="Calibri" w:hAnsi="Calibri" w:eastAsia="Calibri" w:cs="Calibri"/>
          <w:sz w:val="18"/>
          <w:szCs w:val="22"/>
          <w:lang w:val="en-US" w:eastAsia="en-US" w:bidi="ar-SA"/>
        </w:rPr>
        <w:t>Zhao BC, Jiang HY, Ma WY, Jin DD, Li HM, Lu H, Nakajima H, Huang TY, Sun KY, Chen SL, Chen KB.</w:t>
      </w:r>
      <w:r>
        <w:rPr>
          <w:rFonts w:hint="eastAsia" w:ascii="Calibri" w:hAnsi="Calibri" w:eastAsia="Calibri" w:cs="Calibri"/>
          <w:sz w:val="18"/>
          <w:szCs w:val="22"/>
          <w:lang w:val="en-US" w:eastAsia="zh-CN" w:bidi="ar-SA"/>
        </w:rPr>
        <w:t xml:space="preserve"> </w:t>
      </w:r>
      <w:r>
        <w:rPr>
          <w:rFonts w:ascii="Calibri" w:hAnsi="Calibri" w:eastAsia="Calibri" w:cs="Calibri"/>
          <w:b w:val="0"/>
          <w:bCs w:val="0"/>
          <w:sz w:val="18"/>
          <w:szCs w:val="22"/>
          <w:lang w:val="en-US" w:eastAsia="en-US" w:bidi="ar-SA"/>
        </w:rPr>
        <w:t>Albendazole and Corticosteroids for the Treatment of Solitary Cysticercus Granuloma: A Network Meta-analysis.</w:t>
      </w:r>
      <w:r>
        <w:rPr>
          <w:rFonts w:hint="eastAsia" w:eastAsia="宋体" w:cs="Calibri"/>
          <w:b w:val="0"/>
          <w:bCs w:val="0"/>
          <w:sz w:val="18"/>
          <w:szCs w:val="22"/>
          <w:lang w:val="en-US" w:eastAsia="zh-CN" w:bidi="ar-SA"/>
        </w:rPr>
        <w:t xml:space="preserve"> </w:t>
      </w:r>
      <w:r>
        <w:rPr>
          <w:rFonts w:ascii="Calibri" w:hAnsi="Calibri" w:eastAsia="Calibri" w:cs="Calibri"/>
          <w:i/>
          <w:iCs/>
          <w:sz w:val="18"/>
          <w:szCs w:val="22"/>
          <w:lang w:val="en-US" w:eastAsia="en-US" w:bidi="ar-SA"/>
        </w:rPr>
        <w:t>PLoS Negl Trop Dis</w:t>
      </w:r>
      <w:r>
        <w:rPr>
          <w:rFonts w:ascii="Calibri" w:hAnsi="Calibri" w:eastAsia="Calibri" w:cs="Calibri"/>
          <w:sz w:val="18"/>
          <w:szCs w:val="22"/>
          <w:lang w:val="en-US" w:eastAsia="en-US" w:bidi="ar-SA"/>
        </w:rPr>
        <w:t>. 2016 Feb</w:t>
      </w:r>
      <w:r>
        <w:rPr>
          <w:rFonts w:hint="eastAsia" w:ascii="Calibri" w:hAnsi="Calibri" w:eastAsia="宋体" w:cs="Calibri"/>
          <w:sz w:val="18"/>
          <w:szCs w:val="22"/>
          <w:lang w:val="en-US" w:eastAsia="zh-CN" w:bidi="ar-SA"/>
        </w:rPr>
        <w:t xml:space="preserve"> </w:t>
      </w:r>
      <w:r>
        <w:rPr>
          <w:rFonts w:ascii="Calibri" w:hAnsi="Calibri" w:eastAsia="Calibri" w:cs="Calibri"/>
          <w:sz w:val="18"/>
          <w:szCs w:val="22"/>
          <w:lang w:val="en-US" w:eastAsia="en-US" w:bidi="ar-SA"/>
        </w:rPr>
        <w:t>5;10(2):e0004418. doi: 10.1371/journal.pntd.0004418.</w:t>
      </w:r>
    </w:p>
    <w:p>
      <w:pPr>
        <w:pStyle w:val="14"/>
        <w:numPr>
          <w:ilvl w:val="0"/>
          <w:numId w:val="1"/>
        </w:numPr>
        <w:tabs>
          <w:tab w:val="left" w:pos="384"/>
        </w:tabs>
        <w:spacing w:before="92" w:line="218" w:lineRule="exact"/>
        <w:ind w:hanging="283"/>
        <w:rPr>
          <w:rFonts w:ascii="Calibri" w:hAnsi="Calibri" w:eastAsia="Calibri" w:cs="Calibri"/>
          <w:b w:val="0"/>
          <w:bCs w:val="0"/>
          <w:sz w:val="18"/>
          <w:szCs w:val="22"/>
          <w:lang w:val="en-US" w:eastAsia="en-US" w:bidi="ar-SA"/>
        </w:rPr>
      </w:pPr>
      <w:r>
        <w:rPr>
          <w:rFonts w:ascii="Calibri" w:hAnsi="Calibri" w:eastAsia="Calibri" w:cs="Calibri"/>
          <w:b w:val="0"/>
          <w:bCs w:val="0"/>
          <w:sz w:val="18"/>
          <w:szCs w:val="22"/>
          <w:lang w:val="en-US" w:eastAsia="en-US" w:bidi="ar-SA"/>
        </w:rPr>
        <w:t>Tang Z, Shang M, Chen T, Ren P, Sun H, Qu H, Lin Z, Zhou L, Yu J, Jiang H, Zhou X, Li X, Huang Y, Xu J, Yu X.</w:t>
      </w:r>
      <w:r>
        <w:rPr>
          <w:rFonts w:hint="eastAsia" w:eastAsia="宋体" w:cs="Calibri"/>
          <w:b w:val="0"/>
          <w:bCs w:val="0"/>
          <w:sz w:val="18"/>
          <w:szCs w:val="22"/>
          <w:lang w:val="en-US" w:eastAsia="zh-CN" w:bidi="ar-SA"/>
        </w:rPr>
        <w:t xml:space="preserve"> </w:t>
      </w:r>
      <w:r>
        <w:rPr>
          <w:rFonts w:ascii="Calibri" w:hAnsi="Calibri" w:eastAsia="Calibri" w:cs="Calibri"/>
          <w:b w:val="0"/>
          <w:bCs w:val="0"/>
          <w:sz w:val="18"/>
          <w:szCs w:val="22"/>
          <w:lang w:val="en-US" w:eastAsia="en-US" w:bidi="ar-SA"/>
        </w:rPr>
        <w:t xml:space="preserve">The immunological characteristics and probiotic function of recombinant </w:t>
      </w:r>
      <w:r>
        <w:rPr>
          <w:rFonts w:ascii="Calibri" w:hAnsi="Calibri" w:eastAsia="Calibri" w:cs="Calibri"/>
          <w:b w:val="0"/>
          <w:bCs w:val="0"/>
          <w:i/>
          <w:iCs/>
          <w:sz w:val="18"/>
          <w:szCs w:val="22"/>
          <w:lang w:val="en-US" w:eastAsia="en-US" w:bidi="ar-SA"/>
        </w:rPr>
        <w:t>Bacillus subtilis</w:t>
      </w:r>
      <w:r>
        <w:rPr>
          <w:rFonts w:ascii="Calibri" w:hAnsi="Calibri" w:eastAsia="Calibri" w:cs="Calibri"/>
          <w:b w:val="0"/>
          <w:bCs w:val="0"/>
          <w:sz w:val="18"/>
          <w:szCs w:val="22"/>
          <w:lang w:val="en-US" w:eastAsia="en-US" w:bidi="ar-SA"/>
        </w:rPr>
        <w:t xml:space="preserve"> spore expressing </w:t>
      </w:r>
      <w:r>
        <w:rPr>
          <w:rFonts w:ascii="Calibri" w:hAnsi="Calibri" w:eastAsia="Calibri" w:cs="Calibri"/>
          <w:b w:val="0"/>
          <w:bCs w:val="0"/>
          <w:i/>
          <w:iCs/>
          <w:sz w:val="18"/>
          <w:szCs w:val="22"/>
          <w:lang w:val="en-US" w:eastAsia="en-US" w:bidi="ar-SA"/>
        </w:rPr>
        <w:t>Clonorchis sinensis</w:t>
      </w:r>
      <w:r>
        <w:rPr>
          <w:rFonts w:ascii="Calibri" w:hAnsi="Calibri" w:eastAsia="Calibri" w:cs="Calibri"/>
          <w:b w:val="0"/>
          <w:bCs w:val="0"/>
          <w:sz w:val="18"/>
          <w:szCs w:val="22"/>
          <w:lang w:val="en-US" w:eastAsia="en-US" w:bidi="ar-SA"/>
        </w:rPr>
        <w:t xml:space="preserve"> cysteine protease.</w:t>
      </w:r>
      <w:r>
        <w:rPr>
          <w:rFonts w:hint="eastAsia" w:ascii="Calibri" w:hAnsi="Calibri" w:eastAsia="Calibri" w:cs="Calibri"/>
          <w:b w:val="0"/>
          <w:bCs w:val="0"/>
          <w:sz w:val="18"/>
          <w:szCs w:val="22"/>
          <w:lang w:val="en-US" w:eastAsia="zh-CN" w:bidi="ar-SA"/>
        </w:rPr>
        <w:t xml:space="preserve"> </w:t>
      </w:r>
      <w:r>
        <w:rPr>
          <w:rFonts w:ascii="Calibri" w:hAnsi="Calibri" w:eastAsia="Calibri" w:cs="Calibri"/>
          <w:b w:val="0"/>
          <w:bCs w:val="0"/>
          <w:i/>
          <w:iCs/>
          <w:sz w:val="18"/>
          <w:szCs w:val="22"/>
          <w:lang w:val="en-US" w:eastAsia="en-US" w:bidi="ar-SA"/>
        </w:rPr>
        <w:t>Parasit Vectors</w:t>
      </w:r>
      <w:r>
        <w:rPr>
          <w:rFonts w:ascii="Calibri" w:hAnsi="Calibri" w:eastAsia="Calibri" w:cs="Calibri"/>
          <w:b w:val="0"/>
          <w:bCs w:val="0"/>
          <w:sz w:val="18"/>
          <w:szCs w:val="22"/>
          <w:lang w:val="en-US" w:eastAsia="en-US" w:bidi="ar-SA"/>
        </w:rPr>
        <w:t>. 2016 Dec 19;9(1):648.</w:t>
      </w:r>
    </w:p>
    <w:p>
      <w:pPr>
        <w:pStyle w:val="31"/>
      </w:pPr>
      <w:r>
        <w:t>窗体底端</w:t>
      </w:r>
    </w:p>
    <w:p>
      <w:pPr>
        <w:pStyle w:val="30"/>
      </w:pPr>
      <w:r>
        <w:t>窗体顶端</w:t>
      </w:r>
    </w:p>
    <w:p>
      <w:pPr>
        <w:pStyle w:val="31"/>
      </w:pPr>
      <w:r>
        <w:t>窗体底端</w:t>
      </w:r>
    </w:p>
    <w:p>
      <w:pPr>
        <w:pStyle w:val="14"/>
        <w:numPr>
          <w:ilvl w:val="0"/>
          <w:numId w:val="1"/>
        </w:numPr>
        <w:tabs>
          <w:tab w:val="left" w:pos="384"/>
        </w:tabs>
        <w:spacing w:before="92" w:line="218" w:lineRule="exact"/>
        <w:ind w:hanging="283"/>
        <w:rPr>
          <w:rFonts w:ascii="Calibri" w:hAnsi="Calibri" w:eastAsia="Calibri" w:cs="Calibri"/>
          <w:b w:val="0"/>
          <w:bCs w:val="0"/>
          <w:sz w:val="18"/>
          <w:szCs w:val="22"/>
          <w:lang w:val="en-US" w:eastAsia="en-US" w:bidi="ar-SA"/>
        </w:rPr>
      </w:pPr>
      <w:r>
        <w:rPr>
          <w:rFonts w:ascii="Calibri" w:hAnsi="Calibri" w:eastAsia="Calibri" w:cs="Calibri"/>
          <w:b w:val="0"/>
          <w:bCs w:val="0"/>
          <w:sz w:val="18"/>
          <w:szCs w:val="22"/>
          <w:lang w:val="en-US" w:eastAsia="en-US" w:bidi="ar-SA"/>
        </w:rPr>
        <w:t xml:space="preserve">Jiang H, </w:t>
      </w:r>
      <w:r>
        <w:rPr>
          <w:rFonts w:hint="eastAsia" w:ascii="Calibri" w:hAnsi="Calibri" w:eastAsia="Calibri" w:cs="Calibri"/>
          <w:b w:val="0"/>
          <w:bCs w:val="0"/>
          <w:sz w:val="18"/>
          <w:szCs w:val="22"/>
          <w:lang w:val="en-US" w:eastAsia="zh-CN" w:bidi="ar-SA"/>
        </w:rPr>
        <w:t>Huang Y</w:t>
      </w:r>
      <w:r>
        <w:rPr>
          <w:rFonts w:ascii="Calibri" w:hAnsi="Calibri" w:eastAsia="Calibri" w:cs="Calibri"/>
          <w:b w:val="0"/>
          <w:bCs w:val="0"/>
          <w:sz w:val="18"/>
          <w:szCs w:val="22"/>
          <w:lang w:val="en-US" w:eastAsia="en-US" w:bidi="ar-SA"/>
        </w:rPr>
        <w:t xml:space="preserve">, </w:t>
      </w:r>
      <w:r>
        <w:rPr>
          <w:rFonts w:hint="eastAsia" w:ascii="Calibri" w:hAnsi="Calibri" w:eastAsia="Calibri" w:cs="Calibri"/>
          <w:b w:val="0"/>
          <w:bCs w:val="0"/>
          <w:sz w:val="18"/>
          <w:szCs w:val="22"/>
          <w:lang w:val="en-US" w:eastAsia="zh-CN" w:bidi="ar-SA"/>
        </w:rPr>
        <w:t>Yu X.</w:t>
      </w:r>
      <w:r>
        <w:rPr>
          <w:rFonts w:hint="eastAsia" w:cs="Calibri"/>
          <w:b w:val="0"/>
          <w:bCs w:val="0"/>
          <w:sz w:val="18"/>
          <w:szCs w:val="22"/>
          <w:lang w:val="en-US" w:eastAsia="zh-CN" w:bidi="ar-SA"/>
        </w:rPr>
        <w:t xml:space="preserve"> </w:t>
      </w:r>
      <w:r>
        <w:rPr>
          <w:rFonts w:ascii="Calibri" w:hAnsi="Calibri" w:eastAsia="Calibri" w:cs="Calibri"/>
          <w:b w:val="0"/>
          <w:bCs w:val="0"/>
          <w:sz w:val="18"/>
          <w:szCs w:val="22"/>
          <w:lang w:val="en-US" w:eastAsia="en-US" w:bidi="ar-SA"/>
        </w:rPr>
        <w:t>Advances</w:t>
      </w:r>
      <w:r>
        <w:rPr>
          <w:rFonts w:hint="default" w:ascii="Calibri" w:hAnsi="Calibri" w:eastAsia="Calibri" w:cs="Calibri"/>
          <w:b w:val="0"/>
          <w:bCs w:val="0"/>
          <w:sz w:val="18"/>
          <w:szCs w:val="22"/>
          <w:lang w:val="en-US" w:eastAsia="en-US" w:bidi="ar-SA"/>
        </w:rPr>
        <w:t> in mucosal immunity of fish</w:t>
      </w:r>
      <w:r>
        <w:rPr>
          <w:rFonts w:hint="eastAsia" w:eastAsia="宋体" w:cs="Calibri"/>
          <w:b w:val="0"/>
          <w:bCs w:val="0"/>
          <w:sz w:val="18"/>
          <w:szCs w:val="22"/>
          <w:lang w:val="en-US" w:eastAsia="zh-CN" w:bidi="ar-SA"/>
        </w:rPr>
        <w:t xml:space="preserve">. </w:t>
      </w:r>
      <w:r>
        <w:rPr>
          <w:rFonts w:hint="eastAsia" w:eastAsia="宋体" w:cs="Calibri"/>
          <w:b w:val="0"/>
          <w:bCs w:val="0"/>
          <w:i/>
          <w:iCs/>
          <w:sz w:val="18"/>
          <w:szCs w:val="22"/>
          <w:lang w:val="en-US" w:eastAsia="zh-CN" w:bidi="ar-SA"/>
        </w:rPr>
        <w:t>J Trop Med</w:t>
      </w:r>
      <w:r>
        <w:rPr>
          <w:rFonts w:hint="eastAsia" w:eastAsia="宋体" w:cs="Calibri"/>
          <w:b w:val="0"/>
          <w:bCs w:val="0"/>
          <w:sz w:val="18"/>
          <w:szCs w:val="22"/>
          <w:lang w:val="en-US" w:eastAsia="zh-CN" w:bidi="ar-SA"/>
        </w:rPr>
        <w:t xml:space="preserve">. </w:t>
      </w:r>
      <w:r>
        <w:rPr>
          <w:rFonts w:hint="eastAsia" w:ascii="Calibri" w:hAnsi="Calibri" w:eastAsia="Calibri" w:cs="Calibri"/>
          <w:b w:val="0"/>
          <w:bCs w:val="0"/>
          <w:sz w:val="18"/>
          <w:szCs w:val="22"/>
          <w:lang w:val="en-US" w:eastAsia="zh-CN" w:bidi="ar-SA"/>
        </w:rPr>
        <w:t>2015,(08):1150-1153.5.</w:t>
      </w:r>
      <w:r>
        <w:rPr>
          <w:rFonts w:ascii="Calibri" w:hAnsi="Calibri" w:eastAsia="Calibri" w:cs="Calibri"/>
          <w:b w:val="0"/>
          <w:bCs w:val="0"/>
          <w:sz w:val="18"/>
          <w:szCs w:val="22"/>
          <w:lang w:val="en-US" w:eastAsia="en-US" w:bidi="ar-SA"/>
        </w:rPr>
        <w:t xml:space="preserve"> </w:t>
      </w:r>
    </w:p>
    <w:p>
      <w:pPr>
        <w:pStyle w:val="14"/>
        <w:numPr>
          <w:ilvl w:val="0"/>
          <w:numId w:val="1"/>
        </w:numPr>
        <w:tabs>
          <w:tab w:val="left" w:pos="384"/>
        </w:tabs>
        <w:spacing w:before="92" w:line="218" w:lineRule="exact"/>
        <w:ind w:hanging="283"/>
        <w:rPr>
          <w:rFonts w:ascii="Calibri" w:hAnsi="Calibri" w:eastAsia="Calibri" w:cs="Calibri"/>
          <w:b w:val="0"/>
          <w:bCs w:val="0"/>
          <w:sz w:val="18"/>
          <w:szCs w:val="22"/>
          <w:lang w:val="en-US" w:eastAsia="en-US" w:bidi="ar-SA"/>
        </w:rPr>
      </w:pPr>
      <w:r>
        <w:rPr>
          <w:rFonts w:ascii="Calibri" w:hAnsi="Calibri" w:eastAsia="Calibri" w:cs="Calibri"/>
          <w:b w:val="0"/>
          <w:bCs w:val="0"/>
          <w:sz w:val="18"/>
          <w:szCs w:val="22"/>
          <w:lang w:val="en-US" w:eastAsia="en-US" w:bidi="ar-SA"/>
        </w:rPr>
        <w:t>Sun</w:t>
      </w:r>
      <w:r>
        <w:rPr>
          <w:rFonts w:hint="eastAsia" w:eastAsia="宋体" w:cs="Calibri"/>
          <w:b w:val="0"/>
          <w:bCs w:val="0"/>
          <w:sz w:val="18"/>
          <w:szCs w:val="22"/>
          <w:lang w:val="en-US" w:eastAsia="zh-CN" w:bidi="ar-SA"/>
        </w:rPr>
        <w:t xml:space="preserve"> H</w:t>
      </w:r>
      <w:r>
        <w:rPr>
          <w:rFonts w:ascii="Calibri" w:hAnsi="Calibri" w:eastAsia="Calibri" w:cs="Calibri"/>
          <w:b w:val="0"/>
          <w:bCs w:val="0"/>
          <w:sz w:val="18"/>
          <w:szCs w:val="22"/>
          <w:lang w:val="en-US" w:eastAsia="en-US" w:bidi="ar-SA"/>
        </w:rPr>
        <w:t xml:space="preserve">, </w:t>
      </w:r>
      <w:r>
        <w:rPr>
          <w:rFonts w:hint="eastAsia" w:eastAsia="宋体" w:cs="Calibri"/>
          <w:b w:val="0"/>
          <w:bCs w:val="0"/>
          <w:sz w:val="18"/>
          <w:szCs w:val="22"/>
          <w:lang w:val="en-US" w:eastAsia="zh-CN" w:bidi="ar-SA"/>
        </w:rPr>
        <w:t>Jiang H, et al.</w:t>
      </w:r>
      <w:r>
        <w:rPr>
          <w:rFonts w:ascii="Calibri" w:hAnsi="Calibri" w:eastAsia="Calibri" w:cs="Calibri"/>
          <w:b w:val="0"/>
          <w:bCs w:val="0"/>
          <w:sz w:val="18"/>
          <w:szCs w:val="22"/>
          <w:lang w:val="en-US" w:eastAsia="en-US" w:bidi="ar-SA"/>
        </w:rPr>
        <w:t xml:space="preserve"> The immunological characteristics of recombinant </w:t>
      </w:r>
      <w:r>
        <w:rPr>
          <w:rFonts w:ascii="Calibri" w:hAnsi="Calibri" w:eastAsia="Calibri" w:cs="Calibri"/>
          <w:b w:val="0"/>
          <w:bCs w:val="0"/>
          <w:i/>
          <w:iCs/>
          <w:sz w:val="18"/>
          <w:szCs w:val="22"/>
          <w:lang w:val="en-US" w:eastAsia="en-US" w:bidi="ar-SA"/>
        </w:rPr>
        <w:t>Bacillus subtilis</w:t>
      </w:r>
      <w:r>
        <w:rPr>
          <w:rFonts w:ascii="Calibri" w:hAnsi="Calibri" w:eastAsia="Calibri" w:cs="Calibri"/>
          <w:b w:val="0"/>
          <w:bCs w:val="0"/>
          <w:sz w:val="18"/>
          <w:szCs w:val="22"/>
          <w:lang w:val="en-US" w:eastAsia="en-US" w:bidi="ar-SA"/>
        </w:rPr>
        <w:t xml:space="preserve"> spore expressing </w:t>
      </w:r>
      <w:r>
        <w:rPr>
          <w:rFonts w:ascii="Calibri" w:hAnsi="Calibri" w:eastAsia="Calibri" w:cs="Calibri"/>
          <w:b w:val="0"/>
          <w:bCs w:val="0"/>
          <w:i/>
          <w:iCs/>
          <w:sz w:val="18"/>
          <w:szCs w:val="22"/>
          <w:lang w:val="en-US" w:eastAsia="en-US" w:bidi="ar-SA"/>
        </w:rPr>
        <w:t>Clonorchis sinensis</w:t>
      </w:r>
      <w:r>
        <w:rPr>
          <w:rFonts w:ascii="Calibri" w:hAnsi="Calibri" w:eastAsia="Calibri" w:cs="Calibri"/>
          <w:b w:val="0"/>
          <w:bCs w:val="0"/>
          <w:sz w:val="18"/>
          <w:szCs w:val="22"/>
          <w:lang w:val="en-US" w:eastAsia="en-US" w:bidi="ar-SA"/>
        </w:rPr>
        <w:t xml:space="preserve"> Paramyosin.</w:t>
      </w:r>
      <w:r>
        <w:rPr>
          <w:rFonts w:hint="eastAsia" w:ascii="Calibri" w:hAnsi="Calibri" w:eastAsia="Calibri" w:cs="Calibri"/>
          <w:b w:val="0"/>
          <w:bCs w:val="0"/>
          <w:sz w:val="18"/>
          <w:szCs w:val="22"/>
          <w:lang w:val="en-US" w:eastAsia="zh-CN" w:bidi="ar-SA"/>
        </w:rPr>
        <w:t xml:space="preserve"> </w:t>
      </w:r>
      <w:r>
        <w:rPr>
          <w:rFonts w:ascii="Calibri" w:hAnsi="Calibri" w:eastAsia="Calibri" w:cs="Calibri"/>
          <w:b w:val="0"/>
          <w:bCs w:val="0"/>
          <w:i/>
          <w:iCs/>
          <w:sz w:val="18"/>
          <w:szCs w:val="22"/>
          <w:lang w:val="en-US" w:eastAsia="en-US" w:bidi="ar-SA"/>
        </w:rPr>
        <w:t>Parasit Vectors</w:t>
      </w:r>
      <w:r>
        <w:rPr>
          <w:rFonts w:ascii="Calibri" w:hAnsi="Calibri" w:eastAsia="Calibri" w:cs="Calibri"/>
          <w:b w:val="0"/>
          <w:bCs w:val="0"/>
          <w:sz w:val="18"/>
          <w:szCs w:val="22"/>
          <w:lang w:val="en-US" w:eastAsia="en-US" w:bidi="ar-SA"/>
        </w:rPr>
        <w:t>.</w:t>
      </w:r>
      <w:r>
        <w:rPr>
          <w:rFonts w:hint="eastAsia" w:eastAsia="宋体" w:cs="Calibri"/>
          <w:b w:val="0"/>
          <w:bCs w:val="0"/>
          <w:sz w:val="18"/>
          <w:szCs w:val="22"/>
          <w:lang w:val="en-US" w:eastAsia="zh-CN" w:bidi="ar-SA"/>
        </w:rPr>
        <w:t xml:space="preserve"> (submit)</w:t>
      </w:r>
    </w:p>
    <w:p>
      <w:pPr>
        <w:tabs>
          <w:tab w:val="left" w:pos="384"/>
        </w:tabs>
        <w:ind w:right="117"/>
      </w:pPr>
    </w:p>
    <w:p>
      <w:pPr>
        <w:spacing w:line="200" w:lineRule="exact"/>
        <w:jc w:val="both"/>
        <w:rPr>
          <w:rFonts w:ascii="Calibri" w:hAnsi="Calibri"/>
        </w:rPr>
      </w:pPr>
      <w:r>
        <w:rPr>
          <w:rFonts w:ascii="Calibri" w:hAnsi="Calibri"/>
        </w:rPr>
        <w:t xml:space="preserve">   </w:t>
      </w:r>
    </w:p>
    <w:p>
      <w:pPr>
        <w:spacing w:line="200" w:lineRule="exact"/>
        <w:jc w:val="both"/>
        <w:rPr>
          <w:rFonts w:ascii="Calibri" w:hAnsi="Calibri"/>
        </w:rPr>
      </w:pPr>
    </w:p>
    <w:p>
      <w:pPr>
        <w:spacing w:line="200" w:lineRule="exact"/>
        <w:jc w:val="both"/>
        <w:rPr>
          <w:rFonts w:ascii="Calibri" w:hAnsi="Calibri"/>
        </w:rPr>
      </w:pPr>
    </w:p>
    <w:p>
      <w:pPr>
        <w:spacing w:line="200" w:lineRule="exact"/>
        <w:jc w:val="both"/>
        <w:rPr>
          <w:rFonts w:ascii="Calibri" w:hAnsi="Calibri"/>
        </w:rPr>
      </w:pPr>
    </w:p>
    <w:p>
      <w:pPr>
        <w:spacing w:line="200" w:lineRule="exact"/>
        <w:jc w:val="both"/>
        <w:rPr>
          <w:rFonts w:ascii="Calibri" w:hAnsi="Calibri"/>
        </w:rPr>
      </w:pPr>
    </w:p>
    <w:p>
      <w:pPr>
        <w:spacing w:line="200" w:lineRule="exact"/>
        <w:jc w:val="both"/>
        <w:rPr>
          <w:rFonts w:ascii="Calibri" w:hAnsi="Calibri"/>
        </w:rPr>
      </w:pPr>
    </w:p>
    <w:p>
      <w:pPr>
        <w:spacing w:line="200" w:lineRule="exact"/>
        <w:jc w:val="both"/>
        <w:rPr>
          <w:rFonts w:ascii="Calibri" w:hAnsi="Calibri"/>
        </w:rPr>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drawing>
          <wp:inline distT="0" distB="0" distL="0" distR="0">
            <wp:extent cx="628015" cy="622935"/>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Arial"/>
          <w:color w:val="BF5A14"/>
        </w:rPr>
        <w:t>Biography (150 word limit)</w:t>
      </w:r>
    </w:p>
    <w:p>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100" w:beforeAutospacing="1" w:after="100" w:afterAutospacing="1" w:line="154" w:lineRule="exact"/>
        <w:ind w:left="0" w:leftChars="0" w:right="0" w:rightChars="0" w:firstLine="0" w:firstLineChars="0"/>
        <w:jc w:val="left"/>
        <w:textAlignment w:val="auto"/>
        <w:outlineLvl w:val="9"/>
        <w:rPr>
          <w:rFonts w:hint="default" w:ascii="Arial" w:hAnsi="Tw Cen MT" w:eastAsia="Tw Cen MT" w:cs="Tw Cen MT"/>
          <w:kern w:val="0"/>
          <w:sz w:val="14"/>
          <w:szCs w:val="22"/>
          <w:lang w:val="en-US" w:eastAsia="en-US" w:bidi="ar-SA"/>
        </w:rPr>
      </w:pPr>
      <w:r>
        <w:rPr>
          <w:rFonts w:hint="eastAsia" w:ascii="Arial" w:eastAsia="宋体"/>
          <w:sz w:val="14"/>
          <w:lang w:val="en-US" w:eastAsia="zh-CN"/>
        </w:rPr>
        <w:t>Hongye Jiang</w:t>
      </w:r>
      <w:r>
        <w:rPr>
          <w:rFonts w:ascii="Arial"/>
          <w:sz w:val="14"/>
        </w:rPr>
        <w:t xml:space="preserve"> </w:t>
      </w:r>
      <w:r>
        <w:rPr>
          <w:rFonts w:hint="eastAsia" w:ascii="Arial" w:eastAsia="宋体"/>
          <w:sz w:val="14"/>
          <w:lang w:val="en-US" w:eastAsia="zh-CN"/>
        </w:rPr>
        <w:t>is</w:t>
      </w:r>
      <w:r>
        <w:rPr>
          <w:rFonts w:hint="default" w:ascii="Arial" w:hAnsi="Tw Cen MT" w:eastAsia="Tw Cen MT" w:cs="Tw Cen MT"/>
          <w:kern w:val="0"/>
          <w:sz w:val="14"/>
          <w:szCs w:val="22"/>
          <w:lang w:val="en-US" w:eastAsia="en-US" w:bidi="ar-SA"/>
        </w:rPr>
        <w:t xml:space="preserve"> </w:t>
      </w:r>
      <w:r>
        <w:rPr>
          <w:rFonts w:hint="eastAsia" w:ascii="Arial" w:eastAsia="宋体" w:cs="Tw Cen MT"/>
          <w:kern w:val="0"/>
          <w:sz w:val="14"/>
          <w:szCs w:val="22"/>
          <w:lang w:val="en-US" w:eastAsia="zh-CN" w:bidi="ar-SA"/>
        </w:rPr>
        <w:t xml:space="preserve">a </w:t>
      </w:r>
      <w:r>
        <w:rPr>
          <w:rFonts w:hint="default" w:ascii="Arial" w:hAnsi="Tw Cen MT" w:eastAsia="Tw Cen MT" w:cs="Tw Cen MT"/>
          <w:kern w:val="0"/>
          <w:sz w:val="14"/>
          <w:szCs w:val="22"/>
          <w:lang w:val="en-US" w:eastAsia="en-US" w:bidi="ar-SA"/>
        </w:rPr>
        <w:t xml:space="preserve">1st year Ph.D. candidate from Sun Yat-sen University, P. R. China, supervised by Prof. Xinbing Yu, and </w:t>
      </w:r>
      <w:r>
        <w:rPr>
          <w:rFonts w:hint="eastAsia" w:ascii="Arial" w:eastAsia="宋体" w:cs="Tw Cen MT"/>
          <w:kern w:val="0"/>
          <w:sz w:val="14"/>
          <w:szCs w:val="22"/>
          <w:lang w:val="en-US" w:eastAsia="zh-CN" w:bidi="ar-SA"/>
        </w:rPr>
        <w:t>her</w:t>
      </w:r>
      <w:r>
        <w:rPr>
          <w:rFonts w:hint="default" w:ascii="Arial" w:hAnsi="Tw Cen MT" w:eastAsia="Tw Cen MT" w:cs="Tw Cen MT"/>
          <w:kern w:val="0"/>
          <w:sz w:val="14"/>
          <w:szCs w:val="22"/>
          <w:lang w:val="en-US" w:eastAsia="en-US" w:bidi="ar-SA"/>
        </w:rPr>
        <w:t xml:space="preserve"> major is Basic Medicine (Pathogen Biology).</w:t>
      </w:r>
      <w:r>
        <w:rPr>
          <w:rFonts w:hint="eastAsia" w:ascii="Arial" w:eastAsia="宋体" w:cs="Tw Cen MT"/>
          <w:kern w:val="0"/>
          <w:sz w:val="14"/>
          <w:szCs w:val="22"/>
          <w:lang w:val="en-US" w:eastAsia="zh-CN" w:bidi="ar-SA"/>
        </w:rPr>
        <w:t xml:space="preserve"> She </w:t>
      </w:r>
      <w:r>
        <w:rPr>
          <w:rFonts w:hint="default" w:ascii="Arial" w:hAnsi="Tw Cen MT" w:eastAsia="Tw Cen MT" w:cs="Tw Cen MT"/>
          <w:kern w:val="0"/>
          <w:sz w:val="14"/>
          <w:szCs w:val="22"/>
          <w:lang w:val="en-US" w:eastAsia="en-US" w:bidi="ar-SA"/>
        </w:rPr>
        <w:t>do</w:t>
      </w:r>
      <w:r>
        <w:rPr>
          <w:rFonts w:hint="eastAsia" w:ascii="Arial" w:eastAsia="宋体" w:cs="Tw Cen MT"/>
          <w:kern w:val="0"/>
          <w:sz w:val="14"/>
          <w:szCs w:val="22"/>
          <w:lang w:val="en-US" w:eastAsia="zh-CN" w:bidi="ar-SA"/>
        </w:rPr>
        <w:t>es</w:t>
      </w:r>
      <w:r>
        <w:rPr>
          <w:rFonts w:hint="default" w:ascii="Arial" w:hAnsi="Tw Cen MT" w:eastAsia="Tw Cen MT" w:cs="Tw Cen MT"/>
          <w:kern w:val="0"/>
          <w:sz w:val="14"/>
          <w:szCs w:val="22"/>
          <w:lang w:val="en-US" w:eastAsia="en-US" w:bidi="ar-SA"/>
        </w:rPr>
        <w:t xml:space="preserve"> </w:t>
      </w:r>
      <w:r>
        <w:rPr>
          <w:rFonts w:hint="eastAsia" w:ascii="Arial" w:eastAsia="宋体" w:cs="Tw Cen MT"/>
          <w:kern w:val="0"/>
          <w:sz w:val="14"/>
          <w:szCs w:val="22"/>
          <w:lang w:val="en-US" w:eastAsia="zh-CN" w:bidi="ar-SA"/>
        </w:rPr>
        <w:t xml:space="preserve">the </w:t>
      </w:r>
      <w:r>
        <w:rPr>
          <w:rFonts w:hint="default" w:ascii="Arial" w:hAnsi="Tw Cen MT" w:eastAsia="Tw Cen MT" w:cs="Tw Cen MT"/>
          <w:kern w:val="0"/>
          <w:sz w:val="14"/>
          <w:szCs w:val="22"/>
          <w:lang w:val="en-US" w:eastAsia="en-US" w:bidi="ar-SA"/>
        </w:rPr>
        <w:t>research on the development of vaccine for fish to prevent clonorchiasis</w:t>
      </w:r>
      <w:r>
        <w:rPr>
          <w:rFonts w:hint="eastAsia" w:ascii="Arial" w:eastAsia="宋体" w:cs="Tw Cen MT"/>
          <w:kern w:val="0"/>
          <w:sz w:val="14"/>
          <w:szCs w:val="22"/>
          <w:lang w:val="en-US" w:eastAsia="zh-CN" w:bidi="ar-SA"/>
        </w:rPr>
        <w:t>, which applies Bacillus subtilis spores as delivery system to fish for the first time and focuses</w:t>
      </w:r>
      <w:r>
        <w:rPr>
          <w:rFonts w:hint="default" w:ascii="Arial" w:hAnsi="Tw Cen MT" w:eastAsia="Tw Cen MT" w:cs="Tw Cen MT"/>
          <w:kern w:val="0"/>
          <w:sz w:val="14"/>
          <w:szCs w:val="22"/>
          <w:lang w:val="en-US" w:eastAsia="en-US" w:bidi="ar-SA"/>
        </w:rPr>
        <w:t> </w:t>
      </w:r>
      <w:r>
        <w:rPr>
          <w:rFonts w:hint="eastAsia" w:ascii="Arial" w:eastAsia="宋体" w:cs="Tw Cen MT"/>
          <w:kern w:val="0"/>
          <w:sz w:val="14"/>
          <w:szCs w:val="22"/>
          <w:lang w:val="en-US" w:eastAsia="zh-CN" w:bidi="ar-SA"/>
        </w:rPr>
        <w:t xml:space="preserve">on the intermediate host--freshwater fish to prevent clonorchiosis </w:t>
      </w:r>
      <w:r>
        <w:rPr>
          <w:rFonts w:hint="eastAsia" w:ascii="Arial" w:eastAsia="宋体" w:cs="Tw Cen MT"/>
          <w:kern w:val="0"/>
          <w:sz w:val="14"/>
          <w:szCs w:val="22"/>
          <w:lang w:val="en-US" w:eastAsia="zh-CN" w:bidi="ar-SA"/>
        </w:rPr>
        <w:t>for the first time, thus provides a new idea abou</w:t>
      </w:r>
      <w:bookmarkStart w:id="0" w:name="_GoBack"/>
      <w:bookmarkEnd w:id="0"/>
      <w:r>
        <w:rPr>
          <w:rFonts w:hint="eastAsia" w:ascii="Arial" w:eastAsia="宋体" w:cs="Tw Cen MT"/>
          <w:kern w:val="0"/>
          <w:sz w:val="14"/>
          <w:szCs w:val="22"/>
          <w:lang w:val="en-US" w:eastAsia="zh-CN" w:bidi="ar-SA"/>
        </w:rPr>
        <w:t>t cutting off the speading approach of clonorchiosis.</w:t>
      </w:r>
    </w:p>
    <w:p>
      <w:pPr>
        <w:spacing w:before="62"/>
        <w:ind w:left="4217" w:right="4235"/>
        <w:jc w:val="center"/>
        <w:rPr>
          <w:rFonts w:ascii="Arial"/>
          <w:sz w:val="14"/>
        </w:rPr>
      </w:pPr>
      <w:r>
        <w:rPr>
          <w:rFonts w:ascii="Arial"/>
          <w:sz w:val="14"/>
        </w:rPr>
        <w:t xml:space="preserve">Email: </w:t>
      </w:r>
      <w:r>
        <w:fldChar w:fldCharType="begin"/>
      </w:r>
      <w:r>
        <w:instrText xml:space="preserve"> HYPERLINK "mailto:drXXXXXXX@xxxmail.com" </w:instrText>
      </w:r>
      <w:r>
        <w:fldChar w:fldCharType="separate"/>
      </w:r>
      <w:r>
        <w:rPr>
          <w:rStyle w:val="12"/>
          <w:rFonts w:hint="eastAsia" w:ascii="Arial" w:eastAsia="宋体"/>
          <w:sz w:val="14"/>
          <w:lang w:val="en-US" w:eastAsia="zh-CN"/>
        </w:rPr>
        <w:t>152743988</w:t>
      </w:r>
      <w:r>
        <w:rPr>
          <w:rStyle w:val="12"/>
          <w:rFonts w:ascii="Arial"/>
          <w:sz w:val="14"/>
        </w:rPr>
        <w:t>@</w:t>
      </w:r>
      <w:r>
        <w:rPr>
          <w:rStyle w:val="12"/>
          <w:rFonts w:hint="eastAsia" w:ascii="Arial" w:eastAsia="宋体"/>
          <w:sz w:val="14"/>
          <w:lang w:val="en-US" w:eastAsia="zh-CN"/>
        </w:rPr>
        <w:t>qq</w:t>
      </w:r>
      <w:r>
        <w:rPr>
          <w:rStyle w:val="12"/>
          <w:rFonts w:ascii="Arial"/>
          <w:sz w:val="14"/>
        </w:rPr>
        <w:t>.com</w:t>
      </w:r>
      <w:r>
        <w:rPr>
          <w:rStyle w:val="12"/>
          <w:rFonts w:ascii="Arial"/>
          <w:sz w:val="14"/>
        </w:rPr>
        <w:fldChar w:fldCharType="end"/>
      </w:r>
    </w:p>
    <w:p>
      <w:pPr>
        <w:pStyle w:val="5"/>
        <w:spacing w:before="2"/>
        <w:rPr>
          <w:rFonts w:ascii="Arial"/>
          <w:sz w:val="19"/>
        </w:rPr>
      </w:pPr>
      <w: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libri">
    <w:panose1 w:val="020F0502020204030204"/>
    <w:charset w:val="00"/>
    <w:family w:val="auto"/>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Segoe UI">
    <w:panose1 w:val="020B0502040204020203"/>
    <w:charset w:val="00"/>
    <w:family w:val="auto"/>
    <w:pitch w:val="default"/>
    <w:sig w:usb0="E10022FF" w:usb1="C000E47F" w:usb2="00000029" w:usb3="00000000" w:csb0="200001DF" w:csb1="20000000"/>
  </w:font>
  <w:font w:name="lucida Grande">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415C8"/>
    <w:rsid w:val="00873DF0"/>
    <w:rsid w:val="008756E6"/>
    <w:rsid w:val="009B2D44"/>
    <w:rsid w:val="00A07E82"/>
    <w:rsid w:val="00A9710C"/>
    <w:rsid w:val="00AE3E37"/>
    <w:rsid w:val="00B21A57"/>
    <w:rsid w:val="00C33602"/>
    <w:rsid w:val="00CD6F55"/>
    <w:rsid w:val="00DE3104"/>
    <w:rsid w:val="00F72EEA"/>
    <w:rsid w:val="00F84CAE"/>
    <w:rsid w:val="045825AD"/>
    <w:rsid w:val="0C42011E"/>
    <w:rsid w:val="0E547EA1"/>
    <w:rsid w:val="0E7B0F74"/>
    <w:rsid w:val="0FA50614"/>
    <w:rsid w:val="0FD058DA"/>
    <w:rsid w:val="12122B69"/>
    <w:rsid w:val="12D613D9"/>
    <w:rsid w:val="18EE343D"/>
    <w:rsid w:val="1B7F3BC9"/>
    <w:rsid w:val="21ED57DB"/>
    <w:rsid w:val="23B401AA"/>
    <w:rsid w:val="28207D11"/>
    <w:rsid w:val="2A1D6056"/>
    <w:rsid w:val="33E41F68"/>
    <w:rsid w:val="35DD46C8"/>
    <w:rsid w:val="3A931267"/>
    <w:rsid w:val="3B0D7E99"/>
    <w:rsid w:val="3D837D6F"/>
    <w:rsid w:val="3ECD4388"/>
    <w:rsid w:val="3F083F58"/>
    <w:rsid w:val="41BB2BE0"/>
    <w:rsid w:val="42357E70"/>
    <w:rsid w:val="42914255"/>
    <w:rsid w:val="4DB87AED"/>
    <w:rsid w:val="4F5A2907"/>
    <w:rsid w:val="56245B7B"/>
    <w:rsid w:val="58B00421"/>
    <w:rsid w:val="58DA5FEC"/>
    <w:rsid w:val="5C462228"/>
    <w:rsid w:val="5DD67327"/>
    <w:rsid w:val="5F61485E"/>
    <w:rsid w:val="64BB306F"/>
    <w:rsid w:val="67AB5F7B"/>
    <w:rsid w:val="6AD1043C"/>
    <w:rsid w:val="6D5E6622"/>
    <w:rsid w:val="74CB5E4E"/>
    <w:rsid w:val="75973396"/>
    <w:rsid w:val="77862762"/>
    <w:rsid w:val="78804167"/>
    <w:rsid w:val="7AB239E6"/>
    <w:rsid w:val="7BAE4B36"/>
    <w:rsid w:val="7CB26A99"/>
    <w:rsid w:val="7D2418A3"/>
    <w:rsid w:val="7DBB3065"/>
    <w:rsid w:val="7E7C35E0"/>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
    <w:lsdException w:unhideWhenUsed="0" w:uiPriority="0" w:semiHidden="0" w:nam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unhideWhenUsed/>
    <w:uiPriority w:val="1"/>
  </w:style>
  <w:style w:type="table" w:default="1" w:styleId="13">
    <w:name w:val="Normal Table"/>
    <w:unhideWhenUsed/>
    <w:uiPriority w:val="99"/>
    <w:tblPr>
      <w:tblLayout w:type="fixed"/>
      <w:tblCellMar>
        <w:top w:w="0" w:type="dxa"/>
        <w:left w:w="108" w:type="dxa"/>
        <w:bottom w:w="0" w:type="dxa"/>
        <w:right w:w="108" w:type="dxa"/>
      </w:tblCellMar>
    </w:tblPr>
  </w:style>
  <w:style w:type="paragraph" w:styleId="5">
    <w:name w:val="Body Text"/>
    <w:basedOn w:val="1"/>
    <w:link w:val="19"/>
    <w:qFormat/>
    <w:uiPriority w:val="1"/>
    <w:rPr>
      <w:sz w:val="18"/>
      <w:szCs w:val="18"/>
    </w:rPr>
  </w:style>
  <w:style w:type="paragraph" w:styleId="6">
    <w:name w:val="Balloon Text"/>
    <w:basedOn w:val="1"/>
    <w:link w:val="18"/>
    <w:unhideWhenUsed/>
    <w:uiPriority w:val="99"/>
    <w:rPr>
      <w:rFonts w:ascii="Tahoma" w:hAnsi="Tahoma" w:cs="Tahoma"/>
      <w:sz w:val="16"/>
      <w:szCs w:val="16"/>
    </w:rPr>
  </w:style>
  <w:style w:type="paragraph" w:styleId="7">
    <w:name w:val="footer"/>
    <w:basedOn w:val="1"/>
    <w:link w:val="17"/>
    <w:unhideWhenUsed/>
    <w:uiPriority w:val="99"/>
    <w:pPr>
      <w:tabs>
        <w:tab w:val="center" w:pos="4513"/>
        <w:tab w:val="right" w:pos="9026"/>
      </w:tabs>
    </w:pPr>
  </w:style>
  <w:style w:type="paragraph" w:styleId="8">
    <w:name w:val="header"/>
    <w:basedOn w:val="1"/>
    <w:link w:val="16"/>
    <w:unhideWhenUsed/>
    <w:uiPriority w:val="99"/>
    <w:pPr>
      <w:tabs>
        <w:tab w:val="center" w:pos="4513"/>
        <w:tab w:val="right" w:pos="9026"/>
      </w:tabs>
    </w:pPr>
  </w:style>
  <w:style w:type="paragraph" w:styleId="9">
    <w:name w:val="Normal (Web)"/>
    <w:basedOn w:val="1"/>
    <w:unhideWhenUsed/>
    <w:uiPriority w:val="99"/>
    <w:pPr>
      <w:spacing w:before="0" w:beforeAutospacing="1" w:after="0" w:afterAutospacing="1"/>
      <w:ind w:left="0" w:right="0"/>
      <w:jc w:val="left"/>
    </w:pPr>
    <w:rPr>
      <w:kern w:val="0"/>
      <w:sz w:val="24"/>
      <w:lang w:val="en-US" w:eastAsia="zh-CN" w:bidi="ar"/>
    </w:rPr>
  </w:style>
  <w:style w:type="character" w:styleId="11">
    <w:name w:val="FollowedHyperlink"/>
    <w:basedOn w:val="10"/>
    <w:unhideWhenUsed/>
    <w:uiPriority w:val="99"/>
    <w:rPr>
      <w:color w:val="5F5F5F"/>
      <w:u w:val="none"/>
      <w:bdr w:val="none" w:color="auto" w:sz="0" w:space="0"/>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paragraph" w:customStyle="1" w:styleId="14">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5">
    <w:name w:val="Table Paragraph"/>
    <w:basedOn w:val="1"/>
    <w:qFormat/>
    <w:uiPriority w:val="1"/>
  </w:style>
  <w:style w:type="character" w:customStyle="1" w:styleId="16">
    <w:name w:val="Header Char"/>
    <w:basedOn w:val="10"/>
    <w:link w:val="8"/>
    <w:uiPriority w:val="99"/>
    <w:rPr>
      <w:rFonts w:ascii="Tw Cen MT" w:hAnsi="Tw Cen MT" w:eastAsia="Tw Cen MT" w:cs="Tw Cen MT"/>
    </w:rPr>
  </w:style>
  <w:style w:type="character" w:customStyle="1" w:styleId="17">
    <w:name w:val="Footer Char"/>
    <w:basedOn w:val="10"/>
    <w:link w:val="7"/>
    <w:qFormat/>
    <w:uiPriority w:val="99"/>
    <w:rPr>
      <w:rFonts w:ascii="Tw Cen MT" w:hAnsi="Tw Cen MT" w:eastAsia="Tw Cen MT" w:cs="Tw Cen MT"/>
    </w:rPr>
  </w:style>
  <w:style w:type="character" w:customStyle="1" w:styleId="18">
    <w:name w:val="Balloon Text Char"/>
    <w:basedOn w:val="10"/>
    <w:link w:val="6"/>
    <w:semiHidden/>
    <w:uiPriority w:val="99"/>
    <w:rPr>
      <w:rFonts w:ascii="Tahoma" w:hAnsi="Tahoma" w:eastAsia="Tw Cen MT" w:cs="Tahoma"/>
      <w:sz w:val="16"/>
      <w:szCs w:val="16"/>
    </w:rPr>
  </w:style>
  <w:style w:type="character" w:customStyle="1" w:styleId="19">
    <w:name w:val="Body Text Char"/>
    <w:basedOn w:val="10"/>
    <w:link w:val="5"/>
    <w:uiPriority w:val="1"/>
    <w:rPr>
      <w:rFonts w:ascii="Tw Cen MT" w:hAnsi="Tw Cen MT" w:eastAsia="Tw Cen MT" w:cs="Tw Cen MT"/>
      <w:sz w:val="18"/>
      <w:szCs w:val="18"/>
    </w:rPr>
  </w:style>
  <w:style w:type="character" w:customStyle="1" w:styleId="20">
    <w:name w:val="ui-icon-plus-minus-big"/>
    <w:basedOn w:val="10"/>
    <w:uiPriority w:val="0"/>
  </w:style>
  <w:style w:type="character" w:customStyle="1" w:styleId="21">
    <w:name w:val="ui-icon-plus-minus-big1"/>
    <w:basedOn w:val="10"/>
    <w:uiPriority w:val="0"/>
  </w:style>
  <w:style w:type="character" w:customStyle="1" w:styleId="22">
    <w:name w:val="ui-icon-plus-minus-big-open"/>
    <w:basedOn w:val="10"/>
    <w:uiPriority w:val="0"/>
  </w:style>
  <w:style w:type="character" w:customStyle="1" w:styleId="23">
    <w:name w:val="ui-icon-plus-minus-big-open1"/>
    <w:basedOn w:val="10"/>
    <w:uiPriority w:val="0"/>
  </w:style>
  <w:style w:type="character" w:customStyle="1" w:styleId="24">
    <w:name w:val="collapsabletbodyicon"/>
    <w:basedOn w:val="10"/>
    <w:uiPriority w:val="0"/>
  </w:style>
  <w:style w:type="character" w:customStyle="1" w:styleId="25">
    <w:name w:val="ui-icon45"/>
    <w:basedOn w:val="10"/>
    <w:uiPriority w:val="0"/>
  </w:style>
  <w:style w:type="character" w:customStyle="1" w:styleId="26">
    <w:name w:val="ui-icon46"/>
    <w:basedOn w:val="10"/>
    <w:uiPriority w:val="0"/>
  </w:style>
  <w:style w:type="character" w:customStyle="1" w:styleId="27">
    <w:name w:val="ui-icon47"/>
    <w:basedOn w:val="10"/>
    <w:uiPriority w:val="0"/>
  </w:style>
  <w:style w:type="character" w:customStyle="1" w:styleId="28">
    <w:name w:val="ui-selectmenu-text"/>
    <w:basedOn w:val="10"/>
    <w:uiPriority w:val="0"/>
    <w:rPr>
      <w:bdr w:val="none" w:color="auto" w:sz="0" w:space="0"/>
    </w:rPr>
  </w:style>
  <w:style w:type="character" w:customStyle="1" w:styleId="29">
    <w:name w:val="page_link"/>
    <w:basedOn w:val="10"/>
    <w:uiPriority w:val="0"/>
    <w:rPr>
      <w:color w:val="CCCCCC"/>
      <w:bdr w:val="none" w:color="auto" w:sz="0" w:space="0"/>
    </w:rPr>
  </w:style>
  <w:style w:type="paragraph" w:styleId="30">
    <w:name w:val=""/>
    <w:basedOn w:val="1"/>
    <w:next w:val="1"/>
    <w:uiPriority w:val="0"/>
    <w:pPr>
      <w:pBdr>
        <w:bottom w:val="single" w:color="auto" w:sz="6" w:space="1"/>
      </w:pBdr>
      <w:jc w:val="center"/>
    </w:pPr>
    <w:rPr>
      <w:rFonts w:ascii="Arial" w:eastAsia="宋体"/>
      <w:vanish/>
      <w:sz w:val="16"/>
    </w:rPr>
  </w:style>
  <w:style w:type="paragraph" w:styleId="31">
    <w:name w:val=""/>
    <w:basedOn w:val="1"/>
    <w:next w:val="1"/>
    <w:uiPriority w:val="0"/>
    <w:pPr>
      <w:pBdr>
        <w:top w:val="single" w:color="auto" w:sz="6" w:space="1"/>
      </w:pBdr>
      <w:jc w:val="center"/>
    </w:pPr>
    <w:rPr>
      <w:rFonts w:ascii="Arial" w:eastAsia="宋体"/>
      <w:vanish/>
      <w:sz w:val="16"/>
    </w:rPr>
  </w:style>
  <w:style w:type="character" w:customStyle="1" w:styleId="32">
    <w:name w:val="ui-icon48"/>
    <w:basedOn w:val="10"/>
    <w:uiPriority w:val="0"/>
  </w:style>
  <w:style w:type="character" w:customStyle="1" w:styleId="33">
    <w:name w:val="ui-icon43"/>
    <w:basedOn w:val="10"/>
    <w:uiPriority w:val="0"/>
  </w:style>
  <w:style w:type="character" w:customStyle="1" w:styleId="34">
    <w:name w:val="ui-icon44"/>
    <w:basedOn w:val="10"/>
    <w:uiPriority w:val="0"/>
  </w:style>
  <w:style w:type="character" w:customStyle="1" w:styleId="35">
    <w:name w:val="page_link1"/>
    <w:basedOn w:val="10"/>
    <w:uiPriority w:val="0"/>
    <w:rPr>
      <w:color w:val="CCCCCC"/>
      <w:bdr w:val="none" w:color="auto" w:sz="0" w:space="0"/>
    </w:rPr>
  </w:style>
  <w:style w:type="character" w:customStyle="1" w:styleId="36">
    <w:name w:val="ui-icon41"/>
    <w:basedOn w:val="10"/>
    <w:uiPriority w:val="0"/>
  </w:style>
  <w:style w:type="character" w:customStyle="1" w:styleId="37">
    <w:name w:val="ui-icon42"/>
    <w:basedOn w:val="10"/>
    <w:uiPriority w:val="0"/>
  </w:style>
  <w:style w:type="paragraph" w:customStyle="1" w:styleId="38">
    <w:name w:val="_Style 2"/>
    <w:basedOn w:val="1"/>
    <w:next w:val="1"/>
    <w:qFormat/>
    <w:uiPriority w:val="0"/>
    <w:pPr>
      <w:pBdr>
        <w:top w:val="single" w:color="auto" w:sz="6" w:space="1"/>
      </w:pBdr>
      <w:jc w:val="center"/>
    </w:pPr>
    <w:rPr>
      <w:rFonts w:ascii="Arial" w:eastAsia="宋体"/>
      <w:vanish/>
      <w:sz w:val="16"/>
    </w:rPr>
  </w:style>
  <w:style w:type="character" w:customStyle="1" w:styleId="39">
    <w:name w:val="active"/>
    <w:basedOn w:val="10"/>
    <w:uiPriority w:val="0"/>
    <w:rPr>
      <w:color w:val="E60000"/>
      <w:sz w:val="21"/>
      <w:szCs w:val="21"/>
    </w:rPr>
  </w:style>
  <w:style w:type="character" w:customStyle="1" w:styleId="40">
    <w:name w:val="spanleft"/>
    <w:basedOn w:val="10"/>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549</Words>
  <Characters>3132</Characters>
  <Lines>26</Lines>
  <Paragraphs>7</Paragraphs>
  <ScaleCrop>false</ScaleCrop>
  <LinksUpToDate>false</LinksUpToDate>
  <CharactersWithSpaces>3674</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2016-08-31T10:27:00Z</dcterms:created>
  <dc:creator>mehaboobi shaik</dc:creator>
  <cp:lastModifiedBy>Administrator</cp:lastModifiedBy>
  <dcterms:modified xsi:type="dcterms:W3CDTF">2017-03-22T04:56:37Z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2052-10.1.0.6260</vt:lpwstr>
  </property>
</Properties>
</file>