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42EF" w:rsidRPr="001142EF" w:rsidRDefault="001142EF" w:rsidP="001E439C">
      <w:pPr>
        <w:bidi w:val="0"/>
        <w:jc w:val="center"/>
        <w:rPr>
          <w:b/>
          <w:bCs/>
          <w:sz w:val="28"/>
          <w:szCs w:val="28"/>
        </w:rPr>
      </w:pPr>
      <w:r w:rsidRPr="001142EF">
        <w:rPr>
          <w:b/>
          <w:bCs/>
          <w:sz w:val="28"/>
          <w:szCs w:val="28"/>
        </w:rPr>
        <w:t>Estimation of prevalence of meibomian gland dysfunction in consecutive patients of an optometry clinic in a general hospital in Birjand Iran</w:t>
      </w:r>
    </w:p>
    <w:p w:rsidR="001142EF" w:rsidRPr="001142EF" w:rsidRDefault="001142EF" w:rsidP="001E439C">
      <w:pPr>
        <w:bidi w:val="0"/>
        <w:jc w:val="lowKashida"/>
        <w:rPr>
          <w:b/>
          <w:bCs/>
        </w:rPr>
      </w:pPr>
      <w:r w:rsidRPr="001142EF">
        <w:rPr>
          <w:b/>
          <w:bCs/>
        </w:rPr>
        <w:t xml:space="preserve"> Zahra Haghighi </w:t>
      </w:r>
      <w:r w:rsidR="001E439C" w:rsidRPr="001142EF">
        <w:rPr>
          <w:b/>
          <w:bCs/>
        </w:rPr>
        <w:t>BSc</w:t>
      </w:r>
      <w:r w:rsidRPr="001142EF">
        <w:rPr>
          <w:b/>
          <w:bCs/>
        </w:rPr>
        <w:t>.</w:t>
      </w:r>
    </w:p>
    <w:p w:rsidR="001142EF" w:rsidRDefault="001142EF" w:rsidP="001E439C">
      <w:pPr>
        <w:bidi w:val="0"/>
        <w:jc w:val="lowKashida"/>
      </w:pPr>
      <w:r w:rsidRPr="001142EF">
        <w:t xml:space="preserve"> </w:t>
      </w:r>
      <w:r w:rsidR="001E439C" w:rsidRPr="001142EF">
        <w:t>Abstract:</w:t>
      </w:r>
    </w:p>
    <w:p w:rsidR="001E439C" w:rsidRDefault="001E439C" w:rsidP="001E439C">
      <w:pPr>
        <w:bidi w:val="0"/>
        <w:jc w:val="lowKashida"/>
      </w:pPr>
      <w:r>
        <w:t>Meibomian gland dysfunction (MGD) is a common cause of dry eye. Meibomian gland secret oil that</w:t>
      </w:r>
    </w:p>
    <w:p w:rsidR="001E439C" w:rsidRPr="001142EF" w:rsidRDefault="001E439C" w:rsidP="001E439C">
      <w:pPr>
        <w:bidi w:val="0"/>
        <w:jc w:val="lowKashida"/>
      </w:pPr>
      <w:r>
        <w:t xml:space="preserve">helps prevent the water layer </w:t>
      </w:r>
      <w:r w:rsidRPr="001E439C">
        <w:t xml:space="preserve">on the </w:t>
      </w:r>
      <w:hyperlink r:id="rId4" w:history="1">
        <w:r w:rsidRPr="001E439C">
          <w:rPr>
            <w:rStyle w:val="Hyperlink"/>
            <w:color w:val="auto"/>
            <w:u w:val="none"/>
          </w:rPr>
          <w:t>eye</w:t>
        </w:r>
      </w:hyperlink>
      <w:r w:rsidRPr="001E439C">
        <w:t xml:space="preserve"> surface </w:t>
      </w:r>
      <w:r>
        <w:t>from drying out.</w:t>
      </w:r>
    </w:p>
    <w:p w:rsidR="001142EF" w:rsidRDefault="001142EF" w:rsidP="001E439C">
      <w:pPr>
        <w:bidi w:val="0"/>
        <w:jc w:val="lowKashida"/>
      </w:pPr>
      <w:r>
        <w:t xml:space="preserve"> </w:t>
      </w:r>
      <w:r w:rsidRPr="001142EF">
        <w:rPr>
          <w:b/>
          <w:bCs/>
        </w:rPr>
        <w:t>Purpose:</w:t>
      </w:r>
      <w:r>
        <w:t xml:space="preserve"> To estimate the prevalence </w:t>
      </w:r>
      <w:r w:rsidR="001E439C">
        <w:t>of MGD in</w:t>
      </w:r>
      <w:r>
        <w:t xml:space="preserve"> birjand using new diagnostic criteria including lid margin abnormalities and sign of occlusion of the meibomian gland orifices as essential signs.</w:t>
      </w:r>
    </w:p>
    <w:p w:rsidR="001142EF" w:rsidRDefault="001142EF" w:rsidP="001E439C">
      <w:pPr>
        <w:bidi w:val="0"/>
        <w:jc w:val="lowKashida"/>
      </w:pPr>
      <w:r>
        <w:t xml:space="preserve"> </w:t>
      </w:r>
      <w:r w:rsidRPr="001142EF">
        <w:rPr>
          <w:b/>
          <w:bCs/>
        </w:rPr>
        <w:t>Methods:</w:t>
      </w:r>
      <w:r>
        <w:t xml:space="preserve"> The participants were consecutive patients scheduled to be visited in optometry clinic of the vali asr general hospital in Birjand, south khorasan aged 40 and older. The participants completed speed questioner and underwent a complete slit lamp examination. MGD was diagnosed when both of the following factors were positive; lid margin abnormalities and sign of occlusion of the meibomian gland orifices.</w:t>
      </w:r>
    </w:p>
    <w:p w:rsidR="001142EF" w:rsidRDefault="001142EF" w:rsidP="001E439C">
      <w:pPr>
        <w:bidi w:val="0"/>
        <w:jc w:val="lowKashida"/>
      </w:pPr>
      <w:r w:rsidRPr="001142EF">
        <w:rPr>
          <w:b/>
          <w:bCs/>
        </w:rPr>
        <w:t xml:space="preserve"> Results:</w:t>
      </w:r>
      <w:r>
        <w:t xml:space="preserve"> The study included 627 persons (317 men and 310 women) mean age 65±3 (range 40-78) years. The prevalence of symptomatic MGD and total (symptomatic + asymptomatic) MGD were 17%and 51.2%respectively. The prevalence of total MGD increased significantly with increasing patient age (p≤ 0.0001) the ratio of men to women and the prevalence of systemic diseases did not differ between participants who were positive or negative for MGD. For the total MGD group slit lamp findings (lid margin abnormality, shift of mucocutaneos junction, telangiectasia and plugging) were more frequent. Tear film break up times was shorter and meiboscore was higher than in participants without MGD</w:t>
      </w:r>
    </w:p>
    <w:p w:rsidR="00F87141" w:rsidRDefault="001142EF" w:rsidP="001E439C">
      <w:pPr>
        <w:bidi w:val="0"/>
        <w:jc w:val="lowKashida"/>
      </w:pPr>
      <w:r>
        <w:t xml:space="preserve"> </w:t>
      </w:r>
      <w:r w:rsidRPr="001142EF">
        <w:rPr>
          <w:b/>
          <w:bCs/>
        </w:rPr>
        <w:t xml:space="preserve">Conclusion: </w:t>
      </w:r>
      <w:r w:rsidRPr="001142EF">
        <w:t>The</w:t>
      </w:r>
      <w:r>
        <w:t xml:space="preserve"> prevalence of MGD is high in Iranian population aged over 40 </w:t>
      </w:r>
      <w:r w:rsidR="001E439C">
        <w:t>years, which prevention and treatment of this ocular disease is necessary for better visual condition.</w:t>
      </w:r>
    </w:p>
    <w:sectPr w:rsidR="00F87141" w:rsidSect="00302646">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1142EF"/>
    <w:rsid w:val="000C7D7A"/>
    <w:rsid w:val="001142EF"/>
    <w:rsid w:val="001E439C"/>
    <w:rsid w:val="00302646"/>
    <w:rsid w:val="0087127F"/>
    <w:rsid w:val="00BA1FD5"/>
    <w:rsid w:val="00F8714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after="200" w:line="276" w:lineRule="auto"/>
    </w:pPr>
    <w:rPr>
      <w:sz w:val="22"/>
      <w:szCs w:val="22"/>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1E439C"/>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webmd.com/eye-health/video/eye-anat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280</Words>
  <Characters>1599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1876</CharactersWithSpaces>
  <SharedDoc>false</SharedDoc>
  <HLinks>
    <vt:vector size="6" baseType="variant">
      <vt:variant>
        <vt:i4>7340141</vt:i4>
      </vt:variant>
      <vt:variant>
        <vt:i4>0</vt:i4>
      </vt:variant>
      <vt:variant>
        <vt:i4>0</vt:i4>
      </vt:variant>
      <vt:variant>
        <vt:i4>5</vt:i4>
      </vt:variant>
      <vt:variant>
        <vt:lpwstr>https://www.webmd.com/eye-health/video/eye-anatomy</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Bums</dc:creator>
  <cp:lastModifiedBy>reyhaneh</cp:lastModifiedBy>
  <cp:revision>2</cp:revision>
  <cp:lastPrinted>2018-05-06T06:20:00Z</cp:lastPrinted>
  <dcterms:created xsi:type="dcterms:W3CDTF">2018-05-07T19:32:00Z</dcterms:created>
  <dcterms:modified xsi:type="dcterms:W3CDTF">2018-05-07T19:32:00Z</dcterms:modified>
</cp:coreProperties>
</file>