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657" w:type="dxa"/>
        <w:tblInd w:w="108" w:type="dxa"/>
        <w:tblLook w:val="04A0"/>
      </w:tblPr>
      <w:tblGrid>
        <w:gridCol w:w="2976"/>
        <w:gridCol w:w="980"/>
        <w:gridCol w:w="873"/>
        <w:gridCol w:w="2166"/>
        <w:gridCol w:w="996"/>
        <w:gridCol w:w="1916"/>
        <w:gridCol w:w="1956"/>
        <w:gridCol w:w="976"/>
        <w:gridCol w:w="976"/>
      </w:tblGrid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F65D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 in Percentage %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in perentage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Retinitis Pigmentosa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12.13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Age group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Stargardts disease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10.69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0-5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15.53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Cortical visal impairment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10.69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6--10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8.25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Corneal scar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9.24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n male=275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11--20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22.57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Nystagmus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7.51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F65D1">
              <w:rPr>
                <w:rFonts w:ascii="Calibri" w:eastAsia="Times New Roman" w:hAnsi="Calibri" w:cs="Calibri"/>
                <w:b/>
                <w:bCs/>
                <w:color w:val="000000"/>
              </w:rPr>
              <w:t>n female=135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21--30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9.7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Optic atrophy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6.93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31--40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9.46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Foveal atrophy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5.78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41--50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9.95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High Myopia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5.49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51--60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7.28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Glaucoma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5.2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61--70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9.95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ARMD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4.91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70--80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4.85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Macual scar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4.33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81--90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1.45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PDR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3.17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&lt;91 yrs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Rod-Cone dystrophy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3.17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FF65D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412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Albinism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2.89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Micropthalmos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2.13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Typical coloboma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2.02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Amblyopia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Herado macular degenration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Bophthtlmos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Aphakia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n=346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535479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-387985</wp:posOffset>
                  </wp:positionH>
                  <wp:positionV relativeFrom="paragraph">
                    <wp:posOffset>111760</wp:posOffset>
                  </wp:positionV>
                  <wp:extent cx="6047740" cy="3125470"/>
                  <wp:effectExtent l="19050" t="0" r="10160" b="0"/>
                  <wp:wrapNone/>
                  <wp:docPr id="3" name="Chart 2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anchor>
              </w:drawing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760"/>
            </w:tblGrid>
            <w:tr w:rsidR="00FF65D1" w:rsidRPr="00FF65D1">
              <w:trPr>
                <w:trHeight w:val="300"/>
                <w:tblCellSpacing w:w="0" w:type="dxa"/>
              </w:trPr>
              <w:tc>
                <w:tcPr>
                  <w:tcW w:w="2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F65D1" w:rsidRPr="00FF65D1" w:rsidRDefault="00FF65D1" w:rsidP="00FF65D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78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This chart is shows the disease wise distributaion . The maximum number of patient is </w:t>
            </w:r>
            <w:r w:rsidRPr="00FF65D1">
              <w:rPr>
                <w:rFonts w:ascii="Calibri" w:eastAsia="Times New Roman" w:hAnsi="Calibri" w:cs="Calibri"/>
                <w:color w:val="000000"/>
              </w:rPr>
              <w:lastRenderedPageBreak/>
              <w:t>S</w:t>
            </w:r>
          </w:p>
        </w:tc>
        <w:tc>
          <w:tcPr>
            <w:tcW w:w="48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lastRenderedPageBreak/>
              <w:t xml:space="preserve">r of patient is tis pimantosa in the 6 ys duration .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535479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-441325</wp:posOffset>
                  </wp:positionH>
                  <wp:positionV relativeFrom="paragraph">
                    <wp:posOffset>69215</wp:posOffset>
                  </wp:positionV>
                  <wp:extent cx="6079490" cy="2902585"/>
                  <wp:effectExtent l="19050" t="0" r="16510" b="0"/>
                  <wp:wrapNone/>
                  <wp:docPr id="2" name="Chart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anchor>
              </w:drawing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760"/>
            </w:tblGrid>
            <w:tr w:rsidR="00FF65D1" w:rsidRPr="00FF65D1">
              <w:trPr>
                <w:trHeight w:val="300"/>
                <w:tblCellSpacing w:w="0" w:type="dxa"/>
              </w:trPr>
              <w:tc>
                <w:tcPr>
                  <w:tcW w:w="27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F65D1" w:rsidRPr="00FF65D1" w:rsidRDefault="00FF65D1" w:rsidP="00FF65D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11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65D1">
              <w:rPr>
                <w:rFonts w:ascii="Calibri" w:eastAsia="Times New Roman" w:hAnsi="Calibri" w:cs="Calibri"/>
                <w:color w:val="000000"/>
              </w:rPr>
              <w:t xml:space="preserve">This chart is shows age wise distributation. The maximum number of low vision patient is 10 -20 yrs of age.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5D1" w:rsidRPr="00FF65D1" w:rsidTr="00FF65D1">
        <w:trPr>
          <w:trHeight w:val="300"/>
        </w:trPr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5D1" w:rsidRPr="00FF65D1" w:rsidRDefault="00FF65D1" w:rsidP="00FF65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9B03A0" w:rsidRDefault="009B03A0"/>
    <w:sectPr w:rsidR="009B03A0" w:rsidSect="009B0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FF65D1"/>
    <w:rsid w:val="00507DC3"/>
    <w:rsid w:val="00535479"/>
    <w:rsid w:val="006D6EB4"/>
    <w:rsid w:val="00702391"/>
    <w:rsid w:val="008F0457"/>
    <w:rsid w:val="009B03A0"/>
    <w:rsid w:val="00A209B7"/>
    <w:rsid w:val="00F815EF"/>
    <w:rsid w:val="00FF6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3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ptical02\Desktop\Lva.%20chart,%20overall%20distributation%20of%20disease%20and%20age%20wise.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ptical02\Desktop\Lva.%20chart,%20overall%20distributation%20of%20disease%20and%20age%20wise.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>
        <c:manualLayout>
          <c:layoutTarget val="inner"/>
          <c:xMode val="edge"/>
          <c:yMode val="edge"/>
          <c:x val="5.748478981110984E-2"/>
          <c:y val="0.12408441204911309"/>
          <c:w val="0.73970734908136448"/>
          <c:h val="0.45942876932050336"/>
        </c:manualLayout>
      </c:layout>
      <c:barChart>
        <c:barDir val="col"/>
        <c:grouping val="stacked"/>
        <c:ser>
          <c:idx val="0"/>
          <c:order val="0"/>
          <c:cat>
            <c:strRef>
              <c:f>Sheet1!$A$2:$A$21</c:f>
              <c:strCache>
                <c:ptCount val="20"/>
                <c:pt idx="0">
                  <c:v>Retinitis Pigmentosa </c:v>
                </c:pt>
                <c:pt idx="1">
                  <c:v>Stargardts disease </c:v>
                </c:pt>
                <c:pt idx="2">
                  <c:v>Cortical visal impairment </c:v>
                </c:pt>
                <c:pt idx="3">
                  <c:v>Corneal scar </c:v>
                </c:pt>
                <c:pt idx="4">
                  <c:v>Nystagmus </c:v>
                </c:pt>
                <c:pt idx="5">
                  <c:v>Optic atrophy </c:v>
                </c:pt>
                <c:pt idx="6">
                  <c:v>Foveal atrophy </c:v>
                </c:pt>
                <c:pt idx="7">
                  <c:v>High Myopia </c:v>
                </c:pt>
                <c:pt idx="8">
                  <c:v>Glaucoma </c:v>
                </c:pt>
                <c:pt idx="9">
                  <c:v>ARMD </c:v>
                </c:pt>
                <c:pt idx="10">
                  <c:v>Macual scar </c:v>
                </c:pt>
                <c:pt idx="11">
                  <c:v>PDR </c:v>
                </c:pt>
                <c:pt idx="12">
                  <c:v>Rod-Cone dystrophy </c:v>
                </c:pt>
                <c:pt idx="13">
                  <c:v>Albinism </c:v>
                </c:pt>
                <c:pt idx="14">
                  <c:v>Micropthalmos </c:v>
                </c:pt>
                <c:pt idx="15">
                  <c:v>Typical coloboma </c:v>
                </c:pt>
                <c:pt idx="16">
                  <c:v>Amblyopia </c:v>
                </c:pt>
                <c:pt idx="17">
                  <c:v>Herado macular degenration </c:v>
                </c:pt>
                <c:pt idx="18">
                  <c:v>Bophthtlmos </c:v>
                </c:pt>
                <c:pt idx="19">
                  <c:v>Aphakia </c:v>
                </c:pt>
              </c:strCache>
            </c:strRef>
          </c:cat>
          <c:val>
            <c:numRef>
              <c:f>Sheet1!$B$2:$B$21</c:f>
              <c:numCache>
                <c:formatCode>General</c:formatCode>
                <c:ptCount val="20"/>
                <c:pt idx="0">
                  <c:v>42</c:v>
                </c:pt>
                <c:pt idx="1">
                  <c:v>37</c:v>
                </c:pt>
                <c:pt idx="2">
                  <c:v>37</c:v>
                </c:pt>
                <c:pt idx="3">
                  <c:v>32</c:v>
                </c:pt>
                <c:pt idx="4">
                  <c:v>26</c:v>
                </c:pt>
                <c:pt idx="5">
                  <c:v>24</c:v>
                </c:pt>
                <c:pt idx="6">
                  <c:v>20</c:v>
                </c:pt>
                <c:pt idx="7">
                  <c:v>19</c:v>
                </c:pt>
                <c:pt idx="8">
                  <c:v>18</c:v>
                </c:pt>
                <c:pt idx="9">
                  <c:v>17</c:v>
                </c:pt>
                <c:pt idx="10">
                  <c:v>15</c:v>
                </c:pt>
                <c:pt idx="11">
                  <c:v>11</c:v>
                </c:pt>
                <c:pt idx="12">
                  <c:v>11</c:v>
                </c:pt>
                <c:pt idx="13">
                  <c:v>10</c:v>
                </c:pt>
                <c:pt idx="14">
                  <c:v>8</c:v>
                </c:pt>
                <c:pt idx="15">
                  <c:v>7</c:v>
                </c:pt>
                <c:pt idx="16">
                  <c:v>5</c:v>
                </c:pt>
                <c:pt idx="17">
                  <c:v>4</c:v>
                </c:pt>
                <c:pt idx="18">
                  <c:v>2</c:v>
                </c:pt>
                <c:pt idx="19">
                  <c:v>1</c:v>
                </c:pt>
              </c:numCache>
            </c:numRef>
          </c:val>
        </c:ser>
        <c:overlap val="100"/>
        <c:axId val="70505984"/>
        <c:axId val="70507520"/>
      </c:barChart>
      <c:catAx>
        <c:axId val="70505984"/>
        <c:scaling>
          <c:orientation val="minMax"/>
        </c:scaling>
        <c:axPos val="b"/>
        <c:tickLblPos val="nextTo"/>
        <c:crossAx val="70507520"/>
        <c:crosses val="autoZero"/>
        <c:auto val="1"/>
        <c:lblAlgn val="ctr"/>
        <c:lblOffset val="100"/>
      </c:catAx>
      <c:valAx>
        <c:axId val="70507520"/>
        <c:scaling>
          <c:orientation val="minMax"/>
        </c:scaling>
        <c:axPos val="l"/>
        <c:majorGridlines/>
        <c:numFmt formatCode="General" sourceLinked="1"/>
        <c:tickLblPos val="nextTo"/>
        <c:crossAx val="7050598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>
        <c:manualLayout>
          <c:layoutTarget val="inner"/>
          <c:xMode val="edge"/>
          <c:yMode val="edge"/>
          <c:x val="6.4775426509186523E-2"/>
          <c:y val="0.17153602068398166"/>
          <c:w val="0.72562401574803348"/>
          <c:h val="0.71885753864100477"/>
        </c:manualLayout>
      </c:layout>
      <c:barChart>
        <c:barDir val="col"/>
        <c:grouping val="clustered"/>
        <c:ser>
          <c:idx val="0"/>
          <c:order val="0"/>
          <c:cat>
            <c:strRef>
              <c:f>Sheet1!$E$3:$E$13</c:f>
              <c:strCache>
                <c:ptCount val="11"/>
                <c:pt idx="0">
                  <c:v>0-5</c:v>
                </c:pt>
                <c:pt idx="1">
                  <c:v>6--10</c:v>
                </c:pt>
                <c:pt idx="2">
                  <c:v>11--20</c:v>
                </c:pt>
                <c:pt idx="3">
                  <c:v>21--30</c:v>
                </c:pt>
                <c:pt idx="4">
                  <c:v>31--40</c:v>
                </c:pt>
                <c:pt idx="5">
                  <c:v>41--50</c:v>
                </c:pt>
                <c:pt idx="6">
                  <c:v>51--60</c:v>
                </c:pt>
                <c:pt idx="7">
                  <c:v>61--70</c:v>
                </c:pt>
                <c:pt idx="8">
                  <c:v>70--80</c:v>
                </c:pt>
                <c:pt idx="9">
                  <c:v>81--90</c:v>
                </c:pt>
                <c:pt idx="10">
                  <c:v>&lt;91 yrs</c:v>
                </c:pt>
              </c:strCache>
            </c:strRef>
          </c:cat>
          <c:val>
            <c:numRef>
              <c:f>Sheet1!$F$3:$F$13</c:f>
              <c:numCache>
                <c:formatCode>General</c:formatCode>
                <c:ptCount val="11"/>
                <c:pt idx="0">
                  <c:v>64</c:v>
                </c:pt>
                <c:pt idx="1">
                  <c:v>34</c:v>
                </c:pt>
                <c:pt idx="2">
                  <c:v>93</c:v>
                </c:pt>
                <c:pt idx="3">
                  <c:v>40</c:v>
                </c:pt>
                <c:pt idx="4">
                  <c:v>39</c:v>
                </c:pt>
                <c:pt idx="5">
                  <c:v>41</c:v>
                </c:pt>
                <c:pt idx="6">
                  <c:v>30</c:v>
                </c:pt>
                <c:pt idx="7">
                  <c:v>41</c:v>
                </c:pt>
                <c:pt idx="8">
                  <c:v>20</c:v>
                </c:pt>
                <c:pt idx="9">
                  <c:v>6</c:v>
                </c:pt>
                <c:pt idx="10">
                  <c:v>4</c:v>
                </c:pt>
              </c:numCache>
            </c:numRef>
          </c:val>
        </c:ser>
        <c:axId val="70514944"/>
        <c:axId val="88678400"/>
      </c:barChart>
      <c:catAx>
        <c:axId val="70514944"/>
        <c:scaling>
          <c:orientation val="minMax"/>
        </c:scaling>
        <c:axPos val="b"/>
        <c:tickLblPos val="nextTo"/>
        <c:crossAx val="88678400"/>
        <c:crosses val="autoZero"/>
        <c:auto val="1"/>
        <c:lblAlgn val="ctr"/>
        <c:lblOffset val="100"/>
      </c:catAx>
      <c:valAx>
        <c:axId val="88678400"/>
        <c:scaling>
          <c:orientation val="minMax"/>
        </c:scaling>
        <c:axPos val="l"/>
        <c:majorGridlines/>
        <c:numFmt formatCode="General" sourceLinked="1"/>
        <c:tickLblPos val="nextTo"/>
        <c:crossAx val="7051494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optical02</dc:creator>
  <cp:lastModifiedBy>pmahendra</cp:lastModifiedBy>
  <cp:revision>2</cp:revision>
  <dcterms:created xsi:type="dcterms:W3CDTF">2017-05-23T16:14:00Z</dcterms:created>
  <dcterms:modified xsi:type="dcterms:W3CDTF">2017-05-23T16:14:00Z</dcterms:modified>
</cp:coreProperties>
</file>