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1598" w:rsidRDefault="00E31598" w:rsidP="00E31598">
      <w:pPr>
        <w:pStyle w:val="Heading1"/>
      </w:pPr>
      <w:r w:rsidRPr="00810D42">
        <w:t>Assessments of Ocular Morbidities Knowledge Barriers to Access Eye Care Services among the Children live in Offshore Island, Bangladesh.</w:t>
      </w:r>
    </w:p>
    <w:p w:rsidR="00E31598" w:rsidRDefault="00E31598" w:rsidP="00E31598">
      <w:pPr>
        <w:rPr>
          <w:sz w:val="28"/>
        </w:rPr>
      </w:pPr>
      <w:r w:rsidRPr="00810D42">
        <w:rPr>
          <w:sz w:val="28"/>
        </w:rPr>
        <w:t>Abir Dey</w:t>
      </w:r>
      <w:r w:rsidR="00935BA7">
        <w:rPr>
          <w:sz w:val="28"/>
        </w:rPr>
        <w:t xml:space="preserve">, </w:t>
      </w:r>
      <w:r w:rsidRPr="00810D42">
        <w:rPr>
          <w:sz w:val="28"/>
        </w:rPr>
        <w:t>Institute of Community Ophthalmology, Bangladesh</w:t>
      </w:r>
    </w:p>
    <w:p w:rsidR="00B2603F" w:rsidRDefault="00B2603F" w:rsidP="00B2603F">
      <w:pPr>
        <w:rPr>
          <w:sz w:val="28"/>
        </w:rPr>
      </w:pPr>
      <w:r>
        <w:rPr>
          <w:sz w:val="28"/>
        </w:rPr>
        <w:t xml:space="preserve">Shams Mohammod Noman, FCPS, DO , </w:t>
      </w:r>
      <w:r w:rsidRPr="00810D42">
        <w:rPr>
          <w:sz w:val="28"/>
        </w:rPr>
        <w:t>Institute of Community Ophthalmology, Bangladesh</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B2603F">
      <w:pPr>
        <w:pStyle w:val="Heading3"/>
        <w:spacing w:before="147"/>
        <w:ind w:left="0"/>
        <w:jc w:val="both"/>
      </w:pPr>
      <w:r>
        <w:rPr>
          <w:color w:val="BF5A14"/>
        </w:rPr>
        <w:lastRenderedPageBreak/>
        <w:t>Abstra</w:t>
      </w:r>
      <w:r w:rsidR="00E31598">
        <w:rPr>
          <w:color w:val="BF5A14"/>
        </w:rPr>
        <w:t>ct</w:t>
      </w:r>
    </w:p>
    <w:p w:rsidR="00E31598" w:rsidRPr="00E31598" w:rsidRDefault="00E31598" w:rsidP="00E31598">
      <w:pPr>
        <w:tabs>
          <w:tab w:val="left" w:pos="5040"/>
        </w:tabs>
        <w:jc w:val="both"/>
        <w:rPr>
          <w:bCs/>
          <w:color w:val="0D0D0D" w:themeColor="text1" w:themeTint="F2"/>
          <w:sz w:val="20"/>
          <w:szCs w:val="20"/>
        </w:rPr>
      </w:pPr>
      <w:r w:rsidRPr="00E31598">
        <w:rPr>
          <w:color w:val="0D0D0D" w:themeColor="text1" w:themeTint="F2"/>
          <w:sz w:val="20"/>
          <w:szCs w:val="20"/>
        </w:rPr>
        <w:t xml:space="preserve">Offshore Island is the remote and isolated area from the terrestrial mainland. They are deprived from their needs. The children from an offshore island are usually underserved in the case of health care because it is a remote area where the health care systems are quite poor comparing to mainland. So, the proper informations are required for appropriate planning to reduce underlying causes behind visual deprivation among the surviving children of the Offshore Island. </w:t>
      </w:r>
      <w:r w:rsidRPr="00E31598">
        <w:rPr>
          <w:bCs/>
          <w:color w:val="0D0D0D" w:themeColor="text1" w:themeTint="F2"/>
          <w:sz w:val="20"/>
          <w:szCs w:val="20"/>
        </w:rPr>
        <w:t>The purpose of this study was to determine ocular morbidities, knowledge and barriers of eye care services among children in an Offshore Island.</w:t>
      </w:r>
      <w:r w:rsidRPr="00E31598">
        <w:rPr>
          <w:color w:val="0D0D0D" w:themeColor="text1" w:themeTint="F2"/>
          <w:sz w:val="20"/>
          <w:szCs w:val="20"/>
        </w:rPr>
        <w:t xml:space="preserve"> The study team visited and all data were collected from different rural communities at Sandwip upazilla, Chittagong district</w:t>
      </w:r>
      <w:r w:rsidRPr="00E31598">
        <w:rPr>
          <w:b/>
          <w:iCs/>
          <w:color w:val="0D0D0D" w:themeColor="text1" w:themeTint="F2"/>
          <w:sz w:val="20"/>
          <w:szCs w:val="20"/>
          <w:lang w:bidi="bn-BD"/>
        </w:rPr>
        <w:t xml:space="preserve"> </w:t>
      </w:r>
      <w:r w:rsidRPr="00E31598">
        <w:rPr>
          <w:color w:val="0D0D0D" w:themeColor="text1" w:themeTint="F2"/>
          <w:sz w:val="20"/>
          <w:szCs w:val="20"/>
        </w:rPr>
        <w:t>for screening the children aged 5-16 years old by doing spot examination. The whole study was conducted in both qualitative and quantitative methods</w:t>
      </w:r>
      <w:r w:rsidRPr="00E31598">
        <w:rPr>
          <w:bCs/>
          <w:color w:val="0D0D0D" w:themeColor="text1" w:themeTint="F2"/>
          <w:sz w:val="20"/>
          <w:szCs w:val="20"/>
        </w:rPr>
        <w:t>. To determine ocular status of children, examinations were done under skilled Ophthalmologists and Optometrists.</w:t>
      </w:r>
      <w:r w:rsidRPr="00E31598">
        <w:rPr>
          <w:color w:val="0D0D0D" w:themeColor="text1" w:themeTint="F2"/>
          <w:sz w:val="20"/>
          <w:szCs w:val="20"/>
        </w:rPr>
        <w:t xml:space="preserve"> A focus group discussion was held. Sample size was 490. </w:t>
      </w:r>
      <w:r w:rsidRPr="00E31598">
        <w:rPr>
          <w:bCs/>
          <w:color w:val="0D0D0D" w:themeColor="text1" w:themeTint="F2"/>
          <w:sz w:val="20"/>
          <w:szCs w:val="20"/>
        </w:rPr>
        <w:t>It was a community based descriptive study and the sampling method was purposive sampling. In total 490 children, about 56.90% were female and 43.10% were male. Among them 456 were school going children (93.1%) and 34 were non school going children (6.9%). In this study the highest ocular morbidity was Allergic Conjunctivitis (35.2%), Refractive error (27.7%). Other mentionable ocular morbidities were Blepharitis (13.8%), Meibomian Gland Dysfunction (7.5%), Strabismus (6.3%) and Amblyopia (6.3%). About 90.04% children who had different ocular abnormalities could not attend to the doctor due to various reasons.</w:t>
      </w:r>
      <w:r w:rsidRPr="00E31598">
        <w:rPr>
          <w:color w:val="0D0D0D" w:themeColor="text1" w:themeTint="F2"/>
          <w:sz w:val="20"/>
          <w:szCs w:val="20"/>
        </w:rPr>
        <w:t xml:space="preserve"> The ocular morbidity was high in rate in the offshore island. Eye health care facility was also not well established there. Awareness should be raised about necessity of maintaining hygiene and eye healthcare among the island people. Timely intervention through available eye care facilities and management can reduce the ocular morbidity rate in that area.</w:t>
      </w:r>
    </w:p>
    <w:p w:rsidR="00E31598" w:rsidRPr="00E31598" w:rsidRDefault="00A9710C" w:rsidP="00E31598">
      <w:pPr>
        <w:pStyle w:val="Heading3"/>
        <w:spacing w:before="74"/>
      </w:pPr>
      <w:r w:rsidRPr="00E31598">
        <w:rPr>
          <w:b w:val="0"/>
          <w:i/>
        </w:rPr>
        <w:br w:type="column"/>
      </w:r>
      <w:r>
        <w:rPr>
          <w:color w:val="BF5A14"/>
        </w:rPr>
        <w:lastRenderedPageBreak/>
        <w:t>Image</w:t>
      </w:r>
    </w:p>
    <w:p w:rsidR="00E31598" w:rsidRDefault="00E31598" w:rsidP="00E31598">
      <w:r w:rsidRPr="00E31598">
        <w:rPr>
          <w:sz w:val="36"/>
          <w:szCs w:val="24"/>
        </w:rPr>
        <w:drawing>
          <wp:inline distT="0" distB="0" distL="0" distR="0">
            <wp:extent cx="3660495" cy="1920088"/>
            <wp:effectExtent l="19050" t="0" r="16155" b="3962"/>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E31598" w:rsidRPr="00E31598" w:rsidRDefault="00E31598" w:rsidP="00E31598">
      <w:pPr>
        <w:rPr>
          <w:iCs/>
          <w:color w:val="000000" w:themeColor="text1"/>
          <w:sz w:val="16"/>
          <w:szCs w:val="32"/>
        </w:rPr>
      </w:pPr>
      <w:r w:rsidRPr="00E31598">
        <w:rPr>
          <w:b/>
          <w:iCs/>
          <w:color w:val="000000" w:themeColor="text1"/>
          <w:sz w:val="20"/>
          <w:szCs w:val="32"/>
          <w:u w:val="single"/>
        </w:rPr>
        <w:t>Figure1</w:t>
      </w:r>
      <w:r w:rsidRPr="00E31598">
        <w:rPr>
          <w:iCs/>
          <w:color w:val="000000" w:themeColor="text1"/>
          <w:sz w:val="18"/>
          <w:szCs w:val="32"/>
        </w:rPr>
        <w:t>:</w:t>
      </w:r>
      <w:r>
        <w:rPr>
          <w:iCs/>
          <w:color w:val="000000" w:themeColor="text1"/>
          <w:sz w:val="18"/>
          <w:szCs w:val="32"/>
        </w:rPr>
        <w:t xml:space="preserve"> </w:t>
      </w:r>
      <w:r w:rsidRPr="00E31598">
        <w:rPr>
          <w:rFonts w:cs="Times New Roman"/>
          <w:iCs/>
          <w:color w:val="000000" w:themeColor="text1"/>
          <w:sz w:val="18"/>
          <w:szCs w:val="32"/>
        </w:rPr>
        <w:t>Reasons of not going to an Eye Doctor</w:t>
      </w:r>
    </w:p>
    <w:p w:rsidR="00AE3E37" w:rsidRPr="00935BA7" w:rsidRDefault="00AE3E37" w:rsidP="00935BA7">
      <w:pPr>
        <w:spacing w:after="200" w:line="276" w:lineRule="auto"/>
        <w:sectPr w:rsidR="00AE3E37" w:rsidRPr="00935BA7" w:rsidSect="00935BA7">
          <w:type w:val="continuous"/>
          <w:pgSz w:w="11910" w:h="16840"/>
          <w:pgMar w:top="720" w:right="720" w:bottom="720" w:left="720" w:header="720" w:footer="720" w:gutter="0"/>
          <w:cols w:num="2" w:space="720" w:equalWidth="0">
            <w:col w:w="5114" w:space="138"/>
            <w:col w:w="5218"/>
          </w:cols>
          <w:docGrid w:linePitch="299"/>
        </w:sectPr>
      </w:pPr>
    </w:p>
    <w:p w:rsidR="00AE3E37" w:rsidRDefault="00AE3E37">
      <w:pPr>
        <w:pStyle w:val="BodyText"/>
        <w:rPr>
          <w:rFonts w:ascii="Calibri"/>
          <w:sz w:val="20"/>
        </w:rPr>
      </w:pPr>
    </w:p>
    <w:p w:rsidR="00AE3E37" w:rsidRDefault="008826FA">
      <w:pPr>
        <w:pStyle w:val="BodyText"/>
        <w:spacing w:line="40" w:lineRule="exact"/>
        <w:ind w:left="2202"/>
        <w:rPr>
          <w:rFonts w:ascii="Calibri"/>
          <w:sz w:val="4"/>
        </w:rPr>
      </w:pPr>
      <w:r w:rsidRPr="008826FA">
        <w:rPr>
          <w:rFonts w:ascii="Calibri"/>
          <w:noProof/>
          <w:sz w:val="4"/>
          <w:lang w:val="en-IN" w:eastAsia="en-IN"/>
        </w:rPr>
      </w:r>
      <w:r w:rsidRPr="008826FA">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B2603F" w:rsidP="00404E5B">
      <w:pPr>
        <w:spacing w:before="92"/>
        <w:ind w:right="4234"/>
        <w:rPr>
          <w:rFonts w:ascii="Arial"/>
        </w:rPr>
      </w:pPr>
      <w:bookmarkStart w:id="0" w:name="_GoBack"/>
      <w:r w:rsidRPr="00B2603F">
        <w:rPr>
          <w:noProof/>
        </w:rPr>
        <w:drawing>
          <wp:inline distT="0" distB="0" distL="0" distR="0">
            <wp:extent cx="632003" cy="724205"/>
            <wp:effectExtent l="19050" t="0" r="0" b="0"/>
            <wp:docPr id="3" name="Picture 1" descr="D:\36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6819.,,,.jpg"/>
                    <pic:cNvPicPr>
                      <a:picLocks noChangeAspect="1" noChangeArrowheads="1"/>
                    </pic:cNvPicPr>
                  </pic:nvPicPr>
                  <pic:blipFill>
                    <a:blip r:embed="rId11" cstate="print"/>
                    <a:srcRect/>
                    <a:stretch>
                      <a:fillRect/>
                    </a:stretch>
                  </pic:blipFill>
                  <pic:spPr bwMode="auto">
                    <a:xfrm>
                      <a:off x="0" y="0"/>
                      <a:ext cx="634744" cy="727346"/>
                    </a:xfrm>
                    <a:prstGeom prst="rect">
                      <a:avLst/>
                    </a:prstGeom>
                    <a:noFill/>
                    <a:ln w="9525">
                      <a:noFill/>
                      <a:miter lim="800000"/>
                      <a:headEnd/>
                      <a:tailEnd/>
                    </a:ln>
                  </pic:spPr>
                </pic:pic>
              </a:graphicData>
            </a:graphic>
          </wp:inline>
        </w:drawing>
      </w:r>
      <w:bookmarkEnd w:id="0"/>
      <w:r w:rsidR="00A9710C">
        <w:rPr>
          <w:rFonts w:ascii="Arial"/>
          <w:color w:val="BF5A14"/>
        </w:rPr>
        <w:t>Biography</w:t>
      </w:r>
      <w:r w:rsidR="00404E5B">
        <w:rPr>
          <w:rFonts w:ascii="Arial"/>
          <w:color w:val="BF5A14"/>
        </w:rPr>
        <w:t xml:space="preserve"> </w:t>
      </w:r>
    </w:p>
    <w:p w:rsidR="00AE3E37" w:rsidRDefault="00935BA7">
      <w:pPr>
        <w:spacing w:before="41" w:line="154" w:lineRule="exact"/>
        <w:ind w:left="213" w:right="231"/>
        <w:jc w:val="both"/>
        <w:rPr>
          <w:rFonts w:ascii="Arial"/>
          <w:sz w:val="14"/>
        </w:rPr>
      </w:pPr>
      <w:r>
        <w:rPr>
          <w:rFonts w:ascii="Arial"/>
          <w:sz w:val="14"/>
        </w:rPr>
        <w:t xml:space="preserve">Abir Dey has completed his B.Sc in Optometry in Institute of Community Ophthalmology, University of Chittagong, Bangladesh. He has worked in several research studies with different communities like street children, working children, deaf children and autistic children. Now he join in non government organization </w:t>
      </w:r>
      <w:r w:rsidR="00B2603F">
        <w:rPr>
          <w:rFonts w:ascii="Arial"/>
          <w:sz w:val="14"/>
        </w:rPr>
        <w:t>“</w:t>
      </w:r>
      <w:r w:rsidR="00B2603F">
        <w:rPr>
          <w:rFonts w:ascii="Arial"/>
          <w:sz w:val="14"/>
        </w:rPr>
        <w:t xml:space="preserve"> Volunteer Association for Rural Development-VARD</w:t>
      </w:r>
      <w:r w:rsidR="00B2603F">
        <w:rPr>
          <w:rFonts w:ascii="Arial"/>
          <w:sz w:val="14"/>
        </w:rPr>
        <w:t>”</w:t>
      </w:r>
      <w:r w:rsidR="00B2603F">
        <w:rPr>
          <w:rFonts w:ascii="Arial"/>
          <w:sz w:val="14"/>
        </w:rPr>
        <w:t xml:space="preserve"> as Optometry Consultant </w:t>
      </w:r>
      <w:r>
        <w:rPr>
          <w:rFonts w:ascii="Arial"/>
          <w:sz w:val="14"/>
        </w:rPr>
        <w:t xml:space="preserve"> </w:t>
      </w:r>
    </w:p>
    <w:p w:rsidR="00AE3E37" w:rsidRDefault="00A9710C">
      <w:pPr>
        <w:spacing w:before="62"/>
        <w:ind w:left="4217" w:right="4235"/>
        <w:jc w:val="center"/>
        <w:rPr>
          <w:rFonts w:ascii="Arial"/>
          <w:sz w:val="14"/>
        </w:rPr>
      </w:pPr>
      <w:r>
        <w:rPr>
          <w:rFonts w:ascii="Arial"/>
          <w:sz w:val="14"/>
        </w:rPr>
        <w:t>Email:</w:t>
      </w:r>
      <w:r w:rsidR="00B2603F">
        <w:rPr>
          <w:rFonts w:ascii="Arial"/>
          <w:sz w:val="14"/>
        </w:rPr>
        <w:t xml:space="preserve"> </w:t>
      </w:r>
      <w:hyperlink r:id="rId12" w:history="1">
        <w:r w:rsidR="00B2603F" w:rsidRPr="00E00AC8">
          <w:rPr>
            <w:rStyle w:val="Hyperlink"/>
            <w:rFonts w:ascii="Arial"/>
            <w:sz w:val="14"/>
          </w:rPr>
          <w:t>abirdey277@gmail.c</w:t>
        </w:r>
      </w:hyperlink>
      <w:r w:rsidR="00B2603F">
        <w:rPr>
          <w:rFonts w:ascii="Arial"/>
          <w:sz w:val="14"/>
        </w:rPr>
        <w:t>om</w:t>
      </w:r>
    </w:p>
    <w:p w:rsidR="00AE3E37" w:rsidRDefault="008826FA">
      <w:pPr>
        <w:pStyle w:val="BodyText"/>
        <w:spacing w:before="2"/>
        <w:rPr>
          <w:rFonts w:ascii="Arial"/>
          <w:sz w:val="19"/>
        </w:rPr>
      </w:pPr>
      <w:r w:rsidRPr="008826FA">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603F" w:rsidRDefault="00AE3E37" w:rsidP="00B2603F">
      <w:pPr>
        <w:spacing w:before="39"/>
        <w:ind w:left="100"/>
        <w:rPr>
          <w:rFonts w:ascii="Minion Pro"/>
          <w:b/>
          <w:sz w:val="20"/>
        </w:rPr>
        <w:sectPr w:rsidR="00AE3E37" w:rsidRPr="00B2603F">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32D7" w:rsidRDefault="007232D7">
      <w:r>
        <w:separator/>
      </w:r>
    </w:p>
  </w:endnote>
  <w:endnote w:type="continuationSeparator" w:id="1">
    <w:p w:rsidR="007232D7" w:rsidRDefault="007232D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Myriad Pro">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826FA">
    <w:pPr>
      <w:pStyle w:val="BodyText"/>
      <w:spacing w:line="14" w:lineRule="auto"/>
      <w:rPr>
        <w:sz w:val="20"/>
      </w:rPr>
    </w:pPr>
    <w:r w:rsidRPr="008826FA">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E3E37">
                <w:pPr>
                  <w:spacing w:before="8"/>
                  <w:ind w:left="20" w:right="-12"/>
                  <w:rPr>
                    <w:rFonts w:ascii="Arial"/>
                    <w:color w:val="FFFFFF" w:themeColor="background1"/>
                    <w:sz w:val="16"/>
                  </w:rPr>
                </w:pPr>
              </w:p>
            </w:txbxContent>
          </v:textbox>
          <w10:wrap anchorx="page" anchory="page"/>
        </v:shape>
      </w:pict>
    </w:r>
    <w:r w:rsidRPr="008826FA">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8826FA">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rsidR="00AE3E37" w:rsidRPr="005B3A56" w:rsidRDefault="00E31598">
                <w:pPr>
                  <w:spacing w:before="116"/>
                  <w:ind w:right="18"/>
                  <w:jc w:val="right"/>
                  <w:rPr>
                    <w:rFonts w:ascii="Minion Pro"/>
                    <w:color w:val="FFFFFF" w:themeColor="background1"/>
                    <w:sz w:val="16"/>
                  </w:rPr>
                </w:pPr>
                <w:r>
                  <w:rPr>
                    <w:rFonts w:ascii="Minion Pro"/>
                    <w:color w:val="FFFFFF" w:themeColor="background1"/>
                    <w:sz w:val="16"/>
                  </w:rPr>
                  <w:t>Pa\</w:t>
                </w:r>
                <w:r w:rsidR="00A9710C" w:rsidRPr="005B3A56">
                  <w:rPr>
                    <w:rFonts w:ascii="Minion Pro"/>
                    <w:color w:val="FFFFFF" w:themeColor="background1"/>
                    <w:sz w:val="16"/>
                  </w:rPr>
                  <w:t>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32D7" w:rsidRDefault="007232D7">
      <w:r>
        <w:separator/>
      </w:r>
    </w:p>
  </w:footnote>
  <w:footnote w:type="continuationSeparator" w:id="1">
    <w:p w:rsidR="007232D7" w:rsidRDefault="007232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826FA">
    <w:pPr>
      <w:pStyle w:val="BodyText"/>
      <w:spacing w:line="14" w:lineRule="auto"/>
      <w:rPr>
        <w:sz w:val="20"/>
      </w:rPr>
    </w:pPr>
    <w:r w:rsidRPr="008826FA">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w:r>
    <w:r w:rsidRPr="008826FA">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292ED9"/>
    <w:rsid w:val="00375307"/>
    <w:rsid w:val="00404E5B"/>
    <w:rsid w:val="00414F7B"/>
    <w:rsid w:val="004355DC"/>
    <w:rsid w:val="004749B4"/>
    <w:rsid w:val="00494130"/>
    <w:rsid w:val="004F3523"/>
    <w:rsid w:val="005973B9"/>
    <w:rsid w:val="005B3A56"/>
    <w:rsid w:val="006060CE"/>
    <w:rsid w:val="0063497F"/>
    <w:rsid w:val="007232D7"/>
    <w:rsid w:val="00831D8D"/>
    <w:rsid w:val="00873DF0"/>
    <w:rsid w:val="008756E6"/>
    <w:rsid w:val="008826FA"/>
    <w:rsid w:val="00935BA7"/>
    <w:rsid w:val="009B2D44"/>
    <w:rsid w:val="00A07E82"/>
    <w:rsid w:val="00A9710C"/>
    <w:rsid w:val="00AE3E37"/>
    <w:rsid w:val="00B21A57"/>
    <w:rsid w:val="00B2603F"/>
    <w:rsid w:val="00BA6CB1"/>
    <w:rsid w:val="00C33602"/>
    <w:rsid w:val="00CD6F55"/>
    <w:rsid w:val="00DE3104"/>
    <w:rsid w:val="00E3159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birdey277@gmail.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
          <c:y val="2.9635943944507632E-3"/>
          <c:w val="0.99892861752936668"/>
          <c:h val="0.80336925574981088"/>
        </c:manualLayout>
      </c:layout>
      <c:barChart>
        <c:barDir val="col"/>
        <c:grouping val="clustered"/>
        <c:ser>
          <c:idx val="1"/>
          <c:order val="1"/>
          <c:cat>
            <c:multiLvlStrRef>
              <c:f>Sheet1!$F$122:$F$127</c:f>
            </c:multiLvlStrRef>
          </c:cat>
          <c:val>
            <c:numRef>
              <c:f>Sheet1!$G$122:$G$127</c:f>
            </c:numRef>
          </c:val>
        </c:ser>
        <c:ser>
          <c:idx val="0"/>
          <c:order val="0"/>
          <c:dPt>
            <c:idx val="0"/>
            <c:spPr>
              <a:solidFill>
                <a:schemeClr val="accent2">
                  <a:lumMod val="75000"/>
                </a:schemeClr>
              </a:solidFill>
            </c:spPr>
          </c:dPt>
          <c:dPt>
            <c:idx val="1"/>
            <c:spPr>
              <a:solidFill>
                <a:srgbClr val="FFC000"/>
              </a:solidFill>
            </c:spPr>
          </c:dPt>
          <c:dPt>
            <c:idx val="2"/>
            <c:spPr>
              <a:solidFill>
                <a:srgbClr val="00B050"/>
              </a:solidFill>
            </c:spPr>
          </c:dPt>
          <c:dPt>
            <c:idx val="3"/>
            <c:spPr>
              <a:solidFill>
                <a:schemeClr val="tx2">
                  <a:lumMod val="75000"/>
                </a:schemeClr>
              </a:solidFill>
            </c:spPr>
          </c:dPt>
          <c:dPt>
            <c:idx val="4"/>
            <c:spPr>
              <a:solidFill>
                <a:srgbClr val="FF0000"/>
              </a:solidFill>
            </c:spPr>
          </c:dPt>
          <c:dPt>
            <c:idx val="5"/>
            <c:spPr>
              <a:solidFill>
                <a:srgbClr val="00B0F0"/>
              </a:solidFill>
            </c:spPr>
          </c:dPt>
          <c:dLbls>
            <c:dLbl>
              <c:idx val="0"/>
              <c:spPr/>
              <c:txPr>
                <a:bodyPr/>
                <a:lstStyle/>
                <a:p>
                  <a:pPr>
                    <a:defRPr sz="900" b="1"/>
                  </a:pPr>
                  <a:endParaRPr lang="en-US"/>
                </a:p>
              </c:txPr>
              <c:showVal val="1"/>
            </c:dLbl>
            <c:dLbl>
              <c:idx val="1"/>
              <c:spPr/>
              <c:txPr>
                <a:bodyPr/>
                <a:lstStyle/>
                <a:p>
                  <a:pPr>
                    <a:defRPr sz="900" b="1"/>
                  </a:pPr>
                  <a:endParaRPr lang="en-US"/>
                </a:p>
              </c:txPr>
              <c:showVal val="1"/>
            </c:dLbl>
            <c:dLbl>
              <c:idx val="2"/>
              <c:layout>
                <c:manualLayout>
                  <c:x val="-5.8210545463995218E-4"/>
                  <c:y val="-2.0618907011624464E-2"/>
                </c:manualLayout>
              </c:layout>
              <c:spPr/>
              <c:txPr>
                <a:bodyPr/>
                <a:lstStyle/>
                <a:p>
                  <a:pPr>
                    <a:defRPr sz="900" b="1"/>
                  </a:pPr>
                  <a:endParaRPr lang="en-US"/>
                </a:p>
              </c:txPr>
              <c:showVal val="1"/>
            </c:dLbl>
            <c:dLbl>
              <c:idx val="3"/>
              <c:layout>
                <c:manualLayout>
                  <c:x val="5.8210545463995218E-4"/>
                  <c:y val="-2.9383436445444319E-2"/>
                </c:manualLayout>
              </c:layout>
              <c:spPr/>
              <c:txPr>
                <a:bodyPr/>
                <a:lstStyle/>
                <a:p>
                  <a:pPr>
                    <a:defRPr sz="900" b="1"/>
                  </a:pPr>
                  <a:endParaRPr lang="en-US"/>
                </a:p>
              </c:txPr>
              <c:showVal val="1"/>
            </c:dLbl>
            <c:dLbl>
              <c:idx val="4"/>
              <c:layout>
                <c:manualLayout>
                  <c:x val="3.8183345893645208E-3"/>
                  <c:y val="5.6740954255719194E-4"/>
                </c:manualLayout>
              </c:layout>
              <c:spPr/>
              <c:txPr>
                <a:bodyPr/>
                <a:lstStyle/>
                <a:p>
                  <a:pPr>
                    <a:defRPr sz="900" b="1"/>
                  </a:pPr>
                  <a:endParaRPr lang="en-US"/>
                </a:p>
              </c:txPr>
              <c:showVal val="1"/>
            </c:dLbl>
            <c:dLbl>
              <c:idx val="5"/>
              <c:spPr/>
              <c:txPr>
                <a:bodyPr/>
                <a:lstStyle/>
                <a:p>
                  <a:pPr>
                    <a:defRPr sz="900" b="1"/>
                  </a:pPr>
                  <a:endParaRPr lang="en-US"/>
                </a:p>
              </c:txPr>
              <c:showVal val="1"/>
            </c:dLbl>
            <c:delete val="1"/>
          </c:dLbls>
          <c:cat>
            <c:strRef>
              <c:f>[Book1]Sheet1!$A$7:$A$12</c:f>
              <c:strCache>
                <c:ptCount val="6"/>
                <c:pt idx="0">
                  <c:v>Did not feel necessary</c:v>
                </c:pt>
                <c:pt idx="1">
                  <c:v>Distant</c:v>
                </c:pt>
                <c:pt idx="2">
                  <c:v>Financial</c:v>
                </c:pt>
                <c:pt idx="3">
                  <c:v>Belief in traditional treatment</c:v>
                </c:pt>
                <c:pt idx="4">
                  <c:v>Lack of escort</c:v>
                </c:pt>
                <c:pt idx="5">
                  <c:v>Don't know</c:v>
                </c:pt>
              </c:strCache>
            </c:strRef>
          </c:cat>
          <c:val>
            <c:numRef>
              <c:f>[Book1]Sheet1!$B$7:$B$12</c:f>
              <c:numCache>
                <c:formatCode>0.00%</c:formatCode>
                <c:ptCount val="6"/>
                <c:pt idx="0">
                  <c:v>0.40800000000000008</c:v>
                </c:pt>
                <c:pt idx="1">
                  <c:v>0.30400000000000038</c:v>
                </c:pt>
                <c:pt idx="2">
                  <c:v>0.13100000000000001</c:v>
                </c:pt>
                <c:pt idx="3">
                  <c:v>2.1999999999999999E-2</c:v>
                </c:pt>
                <c:pt idx="4">
                  <c:v>2.7000000000000256E-2</c:v>
                </c:pt>
                <c:pt idx="5">
                  <c:v>0.10800000000000012</c:v>
                </c:pt>
              </c:numCache>
            </c:numRef>
          </c:val>
        </c:ser>
        <c:gapWidth val="60"/>
        <c:overlap val="-20"/>
        <c:axId val="209745408"/>
        <c:axId val="210041856"/>
      </c:barChart>
      <c:catAx>
        <c:axId val="209745408"/>
        <c:scaling>
          <c:orientation val="minMax"/>
        </c:scaling>
        <c:axPos val="b"/>
        <c:tickLblPos val="nextTo"/>
        <c:txPr>
          <a:bodyPr/>
          <a:lstStyle/>
          <a:p>
            <a:pPr>
              <a:defRPr sz="500" b="1"/>
            </a:pPr>
            <a:endParaRPr lang="en-US"/>
          </a:p>
        </c:txPr>
        <c:crossAx val="210041856"/>
        <c:crosses val="autoZero"/>
        <c:auto val="1"/>
        <c:lblAlgn val="ctr"/>
        <c:lblOffset val="100"/>
      </c:catAx>
      <c:valAx>
        <c:axId val="210041856"/>
        <c:scaling>
          <c:orientation val="minMax"/>
        </c:scaling>
        <c:delete val="1"/>
        <c:axPos val="l"/>
        <c:majorGridlines>
          <c:spPr>
            <a:ln>
              <a:solidFill>
                <a:sysClr val="windowText" lastClr="000000">
                  <a:alpha val="80000"/>
                </a:sysClr>
              </a:solidFill>
            </a:ln>
          </c:spPr>
        </c:majorGridlines>
        <c:numFmt formatCode="0.00%" sourceLinked="1"/>
        <c:tickLblPos val="none"/>
        <c:crossAx val="209745408"/>
        <c:crosses val="autoZero"/>
        <c:crossBetween val="between"/>
      </c:valAx>
    </c:plotArea>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B0285D-240E-49E7-A2DB-C6662091A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431</Words>
  <Characters>2460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Abir</cp:lastModifiedBy>
  <cp:revision>2</cp:revision>
  <dcterms:created xsi:type="dcterms:W3CDTF">2019-08-21T08:42:00Z</dcterms:created>
  <dcterms:modified xsi:type="dcterms:W3CDTF">2019-08-21T08:42:00Z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