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73A" w:rsidRDefault="001F7DFE" w:rsidP="00CB473A">
      <w:r>
        <w:t xml:space="preserve">Title: Evaluation of Pattern VEP, Retinal nerve </w:t>
      </w:r>
      <w:proofErr w:type="spellStart"/>
      <w:r>
        <w:t>fibre</w:t>
      </w:r>
      <w:proofErr w:type="spellEnd"/>
      <w:r>
        <w:t xml:space="preserve"> </w:t>
      </w:r>
      <w:proofErr w:type="gramStart"/>
      <w:r>
        <w:t>layer  and</w:t>
      </w:r>
      <w:proofErr w:type="gramEnd"/>
      <w:r>
        <w:t xml:space="preserve"> Ganglion cell complex </w:t>
      </w:r>
      <w:r w:rsidR="00CB473A">
        <w:t xml:space="preserve"> in unilateral optic neuritis: A prospective study</w:t>
      </w:r>
    </w:p>
    <w:p w:rsidR="00CB473A" w:rsidRDefault="00CB473A" w:rsidP="00CB473A">
      <w:r>
        <w:t xml:space="preserve">Purpose: To evaluate Retinal nerve fiber layer </w:t>
      </w:r>
      <w:proofErr w:type="gramStart"/>
      <w:r>
        <w:t>thickness(</w:t>
      </w:r>
      <w:proofErr w:type="gramEnd"/>
      <w:r>
        <w:t>RNFL), Ganglion cell complex(GCC) a</w:t>
      </w:r>
      <w:r w:rsidR="001F7DFE">
        <w:t>nd Visual Evoked Potentials(VEP</w:t>
      </w:r>
      <w:r>
        <w:t xml:space="preserve"> over 6 months in acute optic neuritis(ON)</w:t>
      </w:r>
    </w:p>
    <w:p w:rsidR="00CB473A" w:rsidRDefault="00CB473A" w:rsidP="00CB473A">
      <w:r>
        <w:t>Methods: 16 optic neuritis patients treated with methylprednisolone were evaluated for</w:t>
      </w:r>
      <w:r w:rsidR="001F7DFE">
        <w:t xml:space="preserve"> visual </w:t>
      </w:r>
      <w:proofErr w:type="gramStart"/>
      <w:r w:rsidR="001F7DFE">
        <w:t>acuity(</w:t>
      </w:r>
      <w:proofErr w:type="gramEnd"/>
      <w:r w:rsidR="001F7DFE">
        <w:t>VA), RNFL thickness , Ganglion cell complex</w:t>
      </w:r>
      <w:r>
        <w:t xml:space="preserve"> and</w:t>
      </w:r>
      <w:r w:rsidR="001F7DFE">
        <w:t xml:space="preserve"> </w:t>
      </w:r>
      <w:r>
        <w:t xml:space="preserve"> VEP over 6 months</w:t>
      </w:r>
      <w:r w:rsidR="001F7DFE">
        <w:t>.</w:t>
      </w:r>
    </w:p>
    <w:p w:rsidR="00CB473A" w:rsidRPr="00DD14F0" w:rsidRDefault="00CB473A" w:rsidP="00CB473A">
      <w:pPr>
        <w:rPr>
          <w:rFonts w:ascii="Goudy-Bold" w:hAnsi="Goudy-Bold" w:cs="Goudy-Bold"/>
          <w:bCs/>
          <w:sz w:val="20"/>
          <w:szCs w:val="20"/>
        </w:rPr>
      </w:pPr>
      <w:r>
        <w:t xml:space="preserve">Results: </w:t>
      </w:r>
      <w:r w:rsidR="00DD14F0">
        <w:t xml:space="preserve">At 6 months </w:t>
      </w:r>
      <w:r>
        <w:t xml:space="preserve">Mean </w:t>
      </w:r>
      <w:proofErr w:type="spellStart"/>
      <w:r>
        <w:t>logMAR</w:t>
      </w:r>
      <w:proofErr w:type="spellEnd"/>
      <w:r>
        <w:t xml:space="preserve"> BCVA improved from 1.43</w:t>
      </w:r>
      <w:r>
        <w:rPr>
          <w:rFonts w:ascii="Goudy-Bold" w:hAnsi="Goudy-Bold" w:cs="Goudy-Bold"/>
          <w:bCs/>
          <w:sz w:val="20"/>
          <w:szCs w:val="20"/>
        </w:rPr>
        <w:t xml:space="preserve"> at presentation to 0.06, </w:t>
      </w:r>
      <w:r w:rsidR="001F7DFE">
        <w:rPr>
          <w:rFonts w:ascii="Goudy-Bold" w:hAnsi="Goudy-Bold" w:cs="Goudy-Bold"/>
          <w:bCs/>
          <w:sz w:val="20"/>
          <w:szCs w:val="20"/>
        </w:rPr>
        <w:t>In VEP mean P100 latency</w:t>
      </w:r>
      <w:r>
        <w:rPr>
          <w:rFonts w:ascii="Goudy-Bold" w:hAnsi="Goudy-Bold" w:cs="Goudy-Bold"/>
          <w:bCs/>
          <w:sz w:val="20"/>
          <w:szCs w:val="20"/>
        </w:rPr>
        <w:t xml:space="preserve"> improved from 155.6</w:t>
      </w:r>
      <w:r w:rsidR="001F7DFE">
        <w:rPr>
          <w:rFonts w:ascii="Goudy-Bold" w:hAnsi="Goudy-Bold" w:cs="Goudy-Bold"/>
          <w:bCs/>
          <w:sz w:val="20"/>
          <w:szCs w:val="20"/>
        </w:rPr>
        <w:t>ms</w:t>
      </w:r>
      <w:r>
        <w:rPr>
          <w:rFonts w:ascii="Goudy-Bold" w:hAnsi="Goudy-Bold" w:cs="Goudy-Bold"/>
          <w:bCs/>
          <w:sz w:val="20"/>
          <w:szCs w:val="20"/>
        </w:rPr>
        <w:t xml:space="preserve"> to</w:t>
      </w:r>
      <w:r>
        <w:t>130</w:t>
      </w:r>
      <w:r w:rsidR="001F7DFE">
        <w:t>ms</w:t>
      </w:r>
      <w:r>
        <w:t xml:space="preserve"> </w:t>
      </w:r>
      <w:r w:rsidR="001F7DFE">
        <w:rPr>
          <w:rFonts w:ascii="Goudy-Bold" w:hAnsi="Goudy-Bold" w:cs="Goudy-Bold"/>
          <w:bCs/>
          <w:sz w:val="20"/>
          <w:szCs w:val="20"/>
        </w:rPr>
        <w:t>(P&lt; 0.001)</w:t>
      </w:r>
      <w:r w:rsidR="00DD14F0">
        <w:rPr>
          <w:rFonts w:ascii="Goudy-Bold" w:hAnsi="Goudy-Bold" w:cs="Goudy-Bold"/>
          <w:bCs/>
          <w:sz w:val="20"/>
          <w:szCs w:val="20"/>
        </w:rPr>
        <w:t xml:space="preserve"> , M</w:t>
      </w:r>
      <w:r>
        <w:rPr>
          <w:rFonts w:ascii="Goudy-Bold" w:hAnsi="Goudy-Bold" w:cs="Goudy-Bold"/>
          <w:bCs/>
          <w:sz w:val="20"/>
          <w:szCs w:val="20"/>
        </w:rPr>
        <w:t>ean RNFL</w:t>
      </w:r>
      <w:r w:rsidR="00DD14F0">
        <w:rPr>
          <w:rFonts w:ascii="Goudy-Bold" w:hAnsi="Goudy-Bold" w:cs="Goudy-Bold"/>
          <w:bCs/>
          <w:sz w:val="20"/>
          <w:szCs w:val="20"/>
        </w:rPr>
        <w:t xml:space="preserve"> thickness reduced from </w:t>
      </w:r>
      <w:r>
        <w:rPr>
          <w:rFonts w:ascii="Goudy-Bold" w:hAnsi="Goudy-Bold" w:cs="Goudy-Bold"/>
          <w:bCs/>
          <w:sz w:val="20"/>
          <w:szCs w:val="20"/>
        </w:rPr>
        <w:t>123</w:t>
      </w:r>
      <w:r w:rsidR="00DD14F0">
        <w:rPr>
          <w:rFonts w:ascii="Goudy-Bold" w:hAnsi="Goudy-Bold" w:cs="Goudy-Bold"/>
          <w:bCs/>
          <w:sz w:val="20"/>
          <w:szCs w:val="20"/>
        </w:rPr>
        <w:t>u to 80 µm and GCC reduced from 95 to 75 µ. T</w:t>
      </w:r>
      <w:r>
        <w:rPr>
          <w:rFonts w:ascii="Goudy-Bold" w:hAnsi="Goudy-Bold" w:cs="Goudy-Bold"/>
          <w:bCs/>
          <w:sz w:val="20"/>
          <w:szCs w:val="20"/>
        </w:rPr>
        <w:t>hinning</w:t>
      </w:r>
      <w:r w:rsidR="00DD14F0">
        <w:rPr>
          <w:rFonts w:ascii="Goudy-Bold" w:hAnsi="Goudy-Bold" w:cs="Goudy-Bold"/>
          <w:bCs/>
          <w:sz w:val="20"/>
          <w:szCs w:val="20"/>
        </w:rPr>
        <w:t xml:space="preserve"> was </w:t>
      </w:r>
      <w:proofErr w:type="gramStart"/>
      <w:r w:rsidR="00DD14F0">
        <w:rPr>
          <w:rFonts w:ascii="Goudy-Bold" w:hAnsi="Goudy-Bold" w:cs="Goudy-Bold"/>
          <w:bCs/>
          <w:sz w:val="20"/>
          <w:szCs w:val="20"/>
        </w:rPr>
        <w:t xml:space="preserve">significant </w:t>
      </w:r>
      <w:r>
        <w:rPr>
          <w:rFonts w:ascii="Goudy-Bold" w:hAnsi="Goudy-Bold" w:cs="Goudy-Bold"/>
          <w:bCs/>
          <w:sz w:val="20"/>
          <w:szCs w:val="20"/>
        </w:rPr>
        <w:t xml:space="preserve"> in</w:t>
      </w:r>
      <w:proofErr w:type="gramEnd"/>
      <w:r>
        <w:rPr>
          <w:rFonts w:ascii="Goudy-Bold" w:hAnsi="Goudy-Bold" w:cs="Goudy-Bold"/>
          <w:bCs/>
          <w:sz w:val="20"/>
          <w:szCs w:val="20"/>
        </w:rPr>
        <w:t xml:space="preserve"> affected</w:t>
      </w:r>
      <w:r w:rsidR="00DD14F0">
        <w:rPr>
          <w:rFonts w:ascii="Goudy-Bold" w:hAnsi="Goudy-Bold" w:cs="Goudy-Bold"/>
          <w:bCs/>
          <w:sz w:val="20"/>
          <w:szCs w:val="20"/>
        </w:rPr>
        <w:t xml:space="preserve"> eye (P&lt;.001)</w:t>
      </w:r>
    </w:p>
    <w:p w:rsidR="00CB473A" w:rsidRDefault="00CB473A" w:rsidP="00CB473A">
      <w:pPr>
        <w:rPr>
          <w:rFonts w:ascii="Goudy-Bold" w:hAnsi="Goudy-Bold" w:cs="Goudy-Bold"/>
          <w:bCs/>
          <w:sz w:val="20"/>
          <w:szCs w:val="20"/>
        </w:rPr>
      </w:pPr>
      <w:r>
        <w:rPr>
          <w:rFonts w:ascii="Goudy-Bold" w:hAnsi="Goudy-Bold" w:cs="Goudy-Bold"/>
          <w:bCs/>
          <w:sz w:val="20"/>
          <w:szCs w:val="20"/>
        </w:rPr>
        <w:t xml:space="preserve">Conclusion: Even with recovery of VA, there were significant abnormalities in anatomical (RNFL and GCC) and </w:t>
      </w:r>
      <w:r>
        <w:t>electrophysiological(VEP) parameters</w:t>
      </w:r>
      <w:bookmarkStart w:id="0" w:name="_GoBack"/>
      <w:bookmarkEnd w:id="0"/>
    </w:p>
    <w:p w:rsidR="00CB473A" w:rsidRDefault="00CB473A" w:rsidP="00CB473A">
      <w:pPr>
        <w:rPr>
          <w:rFonts w:ascii="Goudy-Bold" w:hAnsi="Goudy-Bold" w:cs="Goudy-Bold"/>
          <w:b/>
          <w:bCs/>
          <w:sz w:val="20"/>
          <w:szCs w:val="20"/>
        </w:rPr>
      </w:pPr>
      <w:r>
        <w:rPr>
          <w:rFonts w:ascii="Goudy-Bold" w:hAnsi="Goudy-Bold" w:cs="Goudy-Bold"/>
          <w:b/>
          <w:bCs/>
          <w:sz w:val="20"/>
          <w:szCs w:val="20"/>
        </w:rPr>
        <w:t>Background statement:</w:t>
      </w:r>
    </w:p>
    <w:p w:rsidR="00CB473A" w:rsidRDefault="00CB473A" w:rsidP="00CB473A">
      <w:pPr>
        <w:rPr>
          <w:rFonts w:ascii="Goudy-Bold" w:hAnsi="Goudy-Bold" w:cs="Goudy-Bold"/>
          <w:b/>
          <w:bCs/>
          <w:sz w:val="20"/>
          <w:szCs w:val="20"/>
        </w:rPr>
      </w:pPr>
      <w:r>
        <w:rPr>
          <w:rFonts w:ascii="Goudy-Bold" w:hAnsi="Goudy-Bold" w:cs="Goudy-Bold"/>
          <w:b/>
          <w:bCs/>
          <w:sz w:val="20"/>
          <w:szCs w:val="20"/>
        </w:rPr>
        <w:t>There are occasional reports on prospective evaluation of GCC and its correlation with RNFL and VEP in optic neuritis due to multiple sclerosis (MS) but none in cases of optic neuritis not associated with MS. This is being reported in our study.</w:t>
      </w:r>
    </w:p>
    <w:p w:rsidR="00CB473A" w:rsidRDefault="00CB473A" w:rsidP="00CB473A">
      <w:pPr>
        <w:rPr>
          <w:rFonts w:ascii="Goudy-Bold" w:hAnsi="Goudy-Bold" w:cs="Goudy-Bold"/>
          <w:b/>
          <w:bCs/>
          <w:sz w:val="20"/>
          <w:szCs w:val="20"/>
        </w:rPr>
      </w:pPr>
      <w:proofErr w:type="spellStart"/>
      <w:r>
        <w:rPr>
          <w:rFonts w:ascii="Goudy-Bold" w:hAnsi="Goudy-Bold" w:cs="Goudy-Bold"/>
          <w:b/>
          <w:bCs/>
          <w:sz w:val="20"/>
          <w:szCs w:val="20"/>
        </w:rPr>
        <w:t>Precis</w:t>
      </w:r>
      <w:proofErr w:type="spellEnd"/>
      <w:r>
        <w:rPr>
          <w:rFonts w:ascii="Goudy-Bold" w:hAnsi="Goudy-Bold" w:cs="Goudy-Bold"/>
          <w:b/>
          <w:bCs/>
          <w:sz w:val="20"/>
          <w:szCs w:val="20"/>
        </w:rPr>
        <w:t>: Anatomical and visual functions in 16 cases of acute isolated unilateral ON treated with intravenous Methylprednisolone were periodically assessed over 6 months. GCC along with RNFL was found to be an effective tool for analysis of progressive anatomical abnormalities in cases of ON.</w:t>
      </w:r>
    </w:p>
    <w:p w:rsidR="00171A43" w:rsidRDefault="00171A43"/>
    <w:sectPr w:rsidR="00171A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oudy-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73A"/>
    <w:rsid w:val="00171A43"/>
    <w:rsid w:val="001F7DFE"/>
    <w:rsid w:val="00CB473A"/>
    <w:rsid w:val="00CE2E43"/>
    <w:rsid w:val="00D23F48"/>
    <w:rsid w:val="00DD1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3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73A"/>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4275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218</Words>
  <Characters>1243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dc:creator>
  <cp:lastModifiedBy>pal</cp:lastModifiedBy>
  <cp:revision>2</cp:revision>
  <dcterms:created xsi:type="dcterms:W3CDTF">2018-12-07T13:58:00Z</dcterms:created>
  <dcterms:modified xsi:type="dcterms:W3CDTF">2018-12-07T13:58:00Z</dcterms:modified>
</cp:coreProperties>
</file>