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BE" w:rsidRDefault="00783BBE" w:rsidP="006E2C3B">
      <w:pPr>
        <w:jc w:val="center"/>
        <w:rPr>
          <w:b/>
          <w:iCs/>
          <w:color w:val="333333"/>
          <w:shd w:val="clear" w:color="auto" w:fill="FFFFFF"/>
        </w:rPr>
      </w:pPr>
      <w:r>
        <w:rPr>
          <w:b/>
          <w:iCs/>
          <w:color w:val="333333"/>
          <w:shd w:val="clear" w:color="auto" w:fill="FFFFFF"/>
        </w:rPr>
        <w:t xml:space="preserve">                                                                                                                            </w:t>
      </w:r>
      <w:r>
        <w:rPr>
          <w:noProof/>
          <w:lang w:eastAsia="en-US"/>
        </w:rPr>
        <w:drawing>
          <wp:inline distT="0" distB="0" distL="0" distR="0" wp14:anchorId="3E1D3159" wp14:editId="00FAEE31">
            <wp:extent cx="890649" cy="1150170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avidjeevan-r\Desktop\sample 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682" cy="1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C3B" w:rsidRPr="002A77E8" w:rsidRDefault="00E37BD1" w:rsidP="006E2C3B">
      <w:pPr>
        <w:jc w:val="center"/>
        <w:rPr>
          <w:b/>
        </w:rPr>
      </w:pPr>
      <w:r w:rsidRPr="005B7D07">
        <w:rPr>
          <w:b/>
          <w:iCs/>
          <w:color w:val="333333"/>
          <w:shd w:val="clear" w:color="auto" w:fill="FFFFFF"/>
        </w:rPr>
        <w:t>Title</w:t>
      </w:r>
      <w:r w:rsidR="006E2C3B">
        <w:rPr>
          <w:b/>
        </w:rPr>
        <w:t xml:space="preserve">: </w:t>
      </w:r>
      <w:proofErr w:type="spellStart"/>
      <w:r w:rsidR="006E2C3B" w:rsidRPr="002A77E8">
        <w:rPr>
          <w:b/>
        </w:rPr>
        <w:t>Retro</w:t>
      </w:r>
      <w:r w:rsidR="006E2C3B" w:rsidRPr="002A77E8">
        <w:rPr>
          <w:b/>
          <w:u w:val="single"/>
        </w:rPr>
        <w:t>SP</w:t>
      </w:r>
      <w:r w:rsidR="006E2C3B" w:rsidRPr="002A77E8">
        <w:rPr>
          <w:b/>
        </w:rPr>
        <w:t>ective</w:t>
      </w:r>
      <w:proofErr w:type="spellEnd"/>
      <w:r w:rsidR="006E2C3B" w:rsidRPr="002A77E8">
        <w:rPr>
          <w:b/>
        </w:rPr>
        <w:t xml:space="preserve"> </w:t>
      </w:r>
      <w:r w:rsidR="006E2C3B" w:rsidRPr="002A77E8">
        <w:rPr>
          <w:b/>
          <w:u w:val="single"/>
        </w:rPr>
        <w:t>E</w:t>
      </w:r>
      <w:r w:rsidR="006E2C3B" w:rsidRPr="002A77E8">
        <w:rPr>
          <w:b/>
        </w:rPr>
        <w:t xml:space="preserve">fficacy and Safety Analysis of </w:t>
      </w:r>
      <w:proofErr w:type="spellStart"/>
      <w:r w:rsidR="006E2C3B" w:rsidRPr="002A77E8">
        <w:rPr>
          <w:b/>
        </w:rPr>
        <w:t>Zybev</w:t>
      </w:r>
      <w:proofErr w:type="spellEnd"/>
      <w:r w:rsidR="006E2C3B" w:rsidRPr="002A77E8">
        <w:rPr>
          <w:b/>
        </w:rPr>
        <w:t xml:space="preserve"> (</w:t>
      </w:r>
      <w:proofErr w:type="spellStart"/>
      <w:r w:rsidR="006E2C3B" w:rsidRPr="002A77E8">
        <w:rPr>
          <w:b/>
        </w:rPr>
        <w:t>Biosimilar</w:t>
      </w:r>
      <w:proofErr w:type="spellEnd"/>
      <w:r w:rsidR="006E2C3B" w:rsidRPr="002A77E8">
        <w:rPr>
          <w:b/>
        </w:rPr>
        <w:t xml:space="preserve"> of </w:t>
      </w:r>
      <w:proofErr w:type="spellStart"/>
      <w:r w:rsidR="006E2C3B" w:rsidRPr="002A77E8">
        <w:rPr>
          <w:b/>
        </w:rPr>
        <w:t>Bevacizumab</w:t>
      </w:r>
      <w:proofErr w:type="spellEnd"/>
      <w:r w:rsidR="006E2C3B" w:rsidRPr="002A77E8">
        <w:rPr>
          <w:b/>
        </w:rPr>
        <w:t xml:space="preserve">) use at Tertiary eye </w:t>
      </w:r>
      <w:r w:rsidR="006E2C3B" w:rsidRPr="002A77E8">
        <w:rPr>
          <w:b/>
          <w:u w:val="single"/>
        </w:rPr>
        <w:t>C</w:t>
      </w:r>
      <w:r w:rsidR="006E2C3B" w:rsidRPr="002A77E8">
        <w:rPr>
          <w:b/>
        </w:rPr>
        <w:t xml:space="preserve">are </w:t>
      </w:r>
      <w:proofErr w:type="spellStart"/>
      <w:r w:rsidR="006E2C3B" w:rsidRPr="002A77E8">
        <w:rPr>
          <w:b/>
        </w:rPr>
        <w:t>cen</w:t>
      </w:r>
      <w:r w:rsidR="006E2C3B" w:rsidRPr="002A77E8">
        <w:rPr>
          <w:b/>
          <w:u w:val="single"/>
        </w:rPr>
        <w:t>TR</w:t>
      </w:r>
      <w:r w:rsidR="006E2C3B" w:rsidRPr="002A77E8">
        <w:rPr>
          <w:b/>
        </w:rPr>
        <w:t>es</w:t>
      </w:r>
      <w:proofErr w:type="spellEnd"/>
      <w:r w:rsidR="006E2C3B" w:rsidRPr="002A77E8">
        <w:rPr>
          <w:b/>
        </w:rPr>
        <w:t xml:space="preserve"> in </w:t>
      </w:r>
      <w:proofErr w:type="spellStart"/>
      <w:r w:rsidR="006E2C3B" w:rsidRPr="002A77E8">
        <w:rPr>
          <w:b/>
        </w:rPr>
        <w:t>Indi</w:t>
      </w:r>
      <w:r w:rsidR="006E2C3B" w:rsidRPr="002A77E8">
        <w:rPr>
          <w:b/>
          <w:u w:val="single"/>
        </w:rPr>
        <w:t>A</w:t>
      </w:r>
      <w:proofErr w:type="spellEnd"/>
      <w:r w:rsidR="006E2C3B" w:rsidRPr="002A77E8">
        <w:rPr>
          <w:b/>
        </w:rPr>
        <w:t>: SPECTR</w:t>
      </w:r>
      <w:r w:rsidR="006E2C3B">
        <w:rPr>
          <w:b/>
        </w:rPr>
        <w:t>A S</w:t>
      </w:r>
      <w:r w:rsidR="006E2C3B" w:rsidRPr="002A77E8">
        <w:rPr>
          <w:b/>
        </w:rPr>
        <w:t xml:space="preserve">tudy  </w:t>
      </w:r>
    </w:p>
    <w:p w:rsidR="006E2C3B" w:rsidRPr="002A77E8" w:rsidRDefault="006E2C3B" w:rsidP="006E2C3B">
      <w:pPr>
        <w:jc w:val="center"/>
      </w:pPr>
    </w:p>
    <w:p w:rsidR="00DC433A" w:rsidRPr="005B7D07" w:rsidRDefault="00DC433A" w:rsidP="005B7D07">
      <w:pPr>
        <w:rPr>
          <w:b/>
          <w:iCs/>
          <w:color w:val="333333"/>
          <w:shd w:val="clear" w:color="auto" w:fill="FFFFFF"/>
        </w:rPr>
      </w:pP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6E2C3B">
        <w:t>Dr Sandesh Warudkar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proofErr w:type="spellStart"/>
      <w:r w:rsidR="006E2C3B">
        <w:rPr>
          <w:i/>
          <w:iCs/>
          <w:color w:val="333333"/>
          <w:shd w:val="clear" w:color="auto" w:fill="FFFFFF"/>
        </w:rPr>
        <w:t>Cadila</w:t>
      </w:r>
      <w:proofErr w:type="spellEnd"/>
      <w:r w:rsidR="006E2C3B">
        <w:rPr>
          <w:i/>
          <w:iCs/>
          <w:color w:val="333333"/>
          <w:shd w:val="clear" w:color="auto" w:fill="FFFFFF"/>
        </w:rPr>
        <w:t xml:space="preserve"> Healthcare Ltd, Ahmedabad, India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6E2C3B" w:rsidRPr="002A77E8" w:rsidRDefault="006E2C3B" w:rsidP="006E2C3B">
      <w:pPr>
        <w:autoSpaceDE w:val="0"/>
        <w:autoSpaceDN w:val="0"/>
        <w:adjustRightInd w:val="0"/>
        <w:jc w:val="both"/>
        <w:rPr>
          <w:b/>
        </w:rPr>
      </w:pPr>
      <w:r w:rsidRPr="002A77E8">
        <w:rPr>
          <w:b/>
        </w:rPr>
        <w:t xml:space="preserve">Purpose: </w:t>
      </w:r>
    </w:p>
    <w:p w:rsidR="006E2C3B" w:rsidRPr="002A77E8" w:rsidRDefault="006E2C3B" w:rsidP="006E2C3B">
      <w:pPr>
        <w:autoSpaceDE w:val="0"/>
        <w:autoSpaceDN w:val="0"/>
        <w:adjustRightInd w:val="0"/>
        <w:jc w:val="both"/>
        <w:rPr>
          <w:rFonts w:eastAsia="PalatinoLinotype-Roman"/>
        </w:rPr>
      </w:pPr>
      <w:r w:rsidRPr="002A77E8">
        <w:rPr>
          <w:rFonts w:eastAsia="PalatinoLinotype-Roman"/>
        </w:rPr>
        <w:t xml:space="preserve">The purpose of this study was to evaluate the efficacy and safety profile of </w:t>
      </w:r>
      <w:proofErr w:type="spellStart"/>
      <w:r w:rsidRPr="002A77E8">
        <w:rPr>
          <w:rFonts w:eastAsia="PalatinoLinotype-Roman"/>
        </w:rPr>
        <w:t>intravitreal</w:t>
      </w:r>
      <w:proofErr w:type="spellEnd"/>
      <w:r w:rsidRPr="002A77E8">
        <w:rPr>
          <w:rFonts w:eastAsia="PalatinoLinotype-Roman"/>
        </w:rPr>
        <w:t xml:space="preserve"> injection of </w:t>
      </w:r>
      <w:proofErr w:type="spellStart"/>
      <w:r w:rsidRPr="002A77E8">
        <w:rPr>
          <w:rFonts w:eastAsia="PalatinoLinotype-Roman"/>
        </w:rPr>
        <w:t>bevacizumab</w:t>
      </w:r>
      <w:proofErr w:type="spellEnd"/>
      <w:r w:rsidRPr="002A77E8">
        <w:rPr>
          <w:rFonts w:eastAsia="PalatinoLinotype-Roman"/>
        </w:rPr>
        <w:t xml:space="preserve"> </w:t>
      </w:r>
      <w:proofErr w:type="spellStart"/>
      <w:r w:rsidRPr="002A77E8">
        <w:rPr>
          <w:rFonts w:eastAsia="PalatinoLinotype-Roman"/>
        </w:rPr>
        <w:t>biosimilar</w:t>
      </w:r>
      <w:proofErr w:type="spellEnd"/>
      <w:r w:rsidRPr="002A77E8">
        <w:rPr>
          <w:rFonts w:eastAsia="PalatinoLinotype-Roman"/>
        </w:rPr>
        <w:t xml:space="preserve"> (</w:t>
      </w:r>
      <w:proofErr w:type="spellStart"/>
      <w:r w:rsidRPr="002A77E8">
        <w:rPr>
          <w:rFonts w:eastAsia="PalatinoLinotype-Roman"/>
        </w:rPr>
        <w:t>Zybev</w:t>
      </w:r>
      <w:proofErr w:type="spellEnd"/>
      <w:r w:rsidRPr="002A77E8">
        <w:rPr>
          <w:rFonts w:eastAsia="PalatinoLinotype-Roman"/>
        </w:rPr>
        <w:t xml:space="preserve">) for various retinal </w:t>
      </w:r>
      <w:proofErr w:type="spellStart"/>
      <w:r w:rsidRPr="002A77E8">
        <w:rPr>
          <w:rFonts w:eastAsia="PalatinoLinotype-Roman"/>
        </w:rPr>
        <w:t>neovascular</w:t>
      </w:r>
      <w:proofErr w:type="spellEnd"/>
      <w:r w:rsidRPr="002A77E8">
        <w:rPr>
          <w:rFonts w:eastAsia="PalatinoLinotype-Roman"/>
        </w:rPr>
        <w:t xml:space="preserve"> conditions. </w:t>
      </w:r>
    </w:p>
    <w:p w:rsidR="006E2C3B" w:rsidRPr="002A77E8" w:rsidRDefault="006E2C3B" w:rsidP="006E2C3B">
      <w:pPr>
        <w:autoSpaceDE w:val="0"/>
        <w:autoSpaceDN w:val="0"/>
        <w:adjustRightInd w:val="0"/>
        <w:jc w:val="both"/>
        <w:rPr>
          <w:rFonts w:eastAsia="PalatinoLinotype-Roman"/>
        </w:rPr>
      </w:pPr>
      <w:r w:rsidRPr="002A77E8">
        <w:rPr>
          <w:b/>
        </w:rPr>
        <w:t xml:space="preserve">Methods: </w:t>
      </w:r>
      <w:r w:rsidRPr="002A77E8">
        <w:rPr>
          <w:rFonts w:eastAsia="PalatinoLinotype-Roman"/>
        </w:rPr>
        <w:t xml:space="preserve">Retrospective analysis was carried out on 108 injections which were administered with </w:t>
      </w:r>
      <w:proofErr w:type="spellStart"/>
      <w:r w:rsidRPr="002A77E8">
        <w:rPr>
          <w:rFonts w:eastAsia="PalatinoLinotype-Roman"/>
        </w:rPr>
        <w:t>intravitreal</w:t>
      </w:r>
      <w:proofErr w:type="spellEnd"/>
      <w:r w:rsidRPr="002A77E8">
        <w:rPr>
          <w:rFonts w:eastAsia="PalatinoLinotype-Roman"/>
        </w:rPr>
        <w:t xml:space="preserve"> </w:t>
      </w:r>
      <w:proofErr w:type="spellStart"/>
      <w:r w:rsidRPr="002A77E8">
        <w:rPr>
          <w:rFonts w:eastAsia="PalatinoLinotype-Roman"/>
        </w:rPr>
        <w:t>Zybev</w:t>
      </w:r>
      <w:proofErr w:type="spellEnd"/>
      <w:r w:rsidRPr="002A77E8">
        <w:rPr>
          <w:rFonts w:eastAsia="PalatinoLinotype-Roman"/>
        </w:rPr>
        <w:t xml:space="preserve"> injection at different tertiary eye care centers in India. The injections were administered for various indications such as wet age</w:t>
      </w:r>
      <w:r w:rsidRPr="002A77E8">
        <w:rPr>
          <w:rFonts w:ascii="MS Mincho" w:eastAsia="MS Mincho" w:hAnsi="MS Mincho" w:cs="MS Mincho" w:hint="eastAsia"/>
        </w:rPr>
        <w:t>‑</w:t>
      </w:r>
      <w:r w:rsidRPr="002A77E8">
        <w:rPr>
          <w:rFonts w:eastAsia="PalatinoLinotype-Roman"/>
        </w:rPr>
        <w:t xml:space="preserve">related macular degeneration (AMD), diabetic macular edema (DME), and retinal vein occlusion (RVO). </w:t>
      </w:r>
    </w:p>
    <w:p w:rsidR="006E2C3B" w:rsidRPr="002A77E8" w:rsidRDefault="006E2C3B" w:rsidP="006E2C3B">
      <w:pPr>
        <w:autoSpaceDE w:val="0"/>
        <w:autoSpaceDN w:val="0"/>
        <w:adjustRightInd w:val="0"/>
        <w:jc w:val="both"/>
        <w:rPr>
          <w:rFonts w:eastAsia="Helvetica-Narrow"/>
        </w:rPr>
      </w:pPr>
      <w:r w:rsidRPr="002A77E8">
        <w:rPr>
          <w:b/>
        </w:rPr>
        <w:t xml:space="preserve">Results: </w:t>
      </w:r>
      <w:r w:rsidRPr="002A77E8">
        <w:rPr>
          <w:rFonts w:eastAsia="PalatinoLinotype-Roman"/>
        </w:rPr>
        <w:t xml:space="preserve">The mean age of the patients was 62.7 ± 8.40 years. A total of 61.1% injections were administered to men and 39.9% to women.  The indications for which the injection was administered were DME (43.6%), </w:t>
      </w:r>
      <w:r>
        <w:rPr>
          <w:rFonts w:eastAsia="PalatinoLinotype-Roman"/>
        </w:rPr>
        <w:t xml:space="preserve">wet </w:t>
      </w:r>
      <w:r w:rsidRPr="002A77E8">
        <w:rPr>
          <w:rFonts w:eastAsia="PalatinoLinotype-Roman"/>
        </w:rPr>
        <w:t>AMD (28.7 %), and RVO (27.7%).</w:t>
      </w:r>
      <w:r w:rsidRPr="002A77E8">
        <w:rPr>
          <w:rFonts w:eastAsia="Helvetica-Narrow"/>
        </w:rPr>
        <w:t xml:space="preserve"> Mean pretreatment BCVA was 0.94 ± 0.29 </w:t>
      </w:r>
      <w:proofErr w:type="spellStart"/>
      <w:r w:rsidRPr="002A77E8">
        <w:rPr>
          <w:rFonts w:eastAsia="Helvetica-Narrow"/>
        </w:rPr>
        <w:t>logMAR</w:t>
      </w:r>
      <w:proofErr w:type="spellEnd"/>
      <w:r w:rsidRPr="002A77E8">
        <w:rPr>
          <w:rFonts w:eastAsia="Helvetica-Narrow"/>
        </w:rPr>
        <w:t xml:space="preserve"> with CMT 355.76 ± 54.9 </w:t>
      </w:r>
      <w:proofErr w:type="spellStart"/>
      <w:r w:rsidRPr="002A77E8">
        <w:rPr>
          <w:rFonts w:eastAsia="Helvetica-Narrow"/>
        </w:rPr>
        <w:t>μm</w:t>
      </w:r>
      <w:proofErr w:type="spellEnd"/>
      <w:r w:rsidRPr="002A77E8">
        <w:rPr>
          <w:rFonts w:eastAsia="Helvetica-Narrow"/>
        </w:rPr>
        <w:t xml:space="preserve"> and post</w:t>
      </w:r>
      <w:r>
        <w:rPr>
          <w:rFonts w:eastAsia="Helvetica-Narrow"/>
        </w:rPr>
        <w:t xml:space="preserve"> </w:t>
      </w:r>
      <w:r w:rsidRPr="002A77E8">
        <w:rPr>
          <w:rFonts w:eastAsia="Helvetica-Narrow"/>
        </w:rPr>
        <w:t xml:space="preserve">injection BCVA at day 30 was 0.81 ± 0.26 </w:t>
      </w:r>
      <w:proofErr w:type="spellStart"/>
      <w:r w:rsidRPr="002A77E8">
        <w:rPr>
          <w:rFonts w:eastAsia="Helvetica-Narrow"/>
        </w:rPr>
        <w:t>logMAR</w:t>
      </w:r>
      <w:proofErr w:type="spellEnd"/>
      <w:r w:rsidRPr="002A77E8">
        <w:rPr>
          <w:rFonts w:eastAsia="Helvetica-Narrow"/>
        </w:rPr>
        <w:t xml:space="preserve"> with CMT reducing to 292.20 ± 40.81 </w:t>
      </w:r>
      <w:proofErr w:type="spellStart"/>
      <w:r w:rsidRPr="002A77E8">
        <w:rPr>
          <w:rFonts w:eastAsia="Helvetica-Narrow"/>
        </w:rPr>
        <w:t>μm</w:t>
      </w:r>
      <w:proofErr w:type="spellEnd"/>
      <w:r w:rsidRPr="002A77E8">
        <w:rPr>
          <w:rFonts w:eastAsia="Helvetica-Narrow"/>
        </w:rPr>
        <w:t>, indicating statistical significance (P = 0.001 and P &lt; 0.0001, respectively) for all groups.</w:t>
      </w:r>
      <w:r w:rsidRPr="002A77E8">
        <w:rPr>
          <w:rFonts w:eastAsia="PalatinoLinotype-Roman"/>
        </w:rPr>
        <w:t xml:space="preserve"> Among the ocular side effects, none of the patients were reported with severe inflammation, </w:t>
      </w:r>
      <w:proofErr w:type="spellStart"/>
      <w:r w:rsidRPr="002A77E8">
        <w:rPr>
          <w:rFonts w:eastAsia="PalatinoLinotype-Roman"/>
        </w:rPr>
        <w:t>endophthalmitis</w:t>
      </w:r>
      <w:proofErr w:type="spellEnd"/>
      <w:r w:rsidRPr="002A77E8">
        <w:rPr>
          <w:rFonts w:eastAsia="PalatinoLinotype-Roman"/>
        </w:rPr>
        <w:t xml:space="preserve"> or rise in intraocular pressure (IOP) &gt;21 mm of Hg during follow up period of one month post injection. No systemic adverse events were noted in study population. </w:t>
      </w:r>
    </w:p>
    <w:p w:rsidR="006E2C3B" w:rsidRPr="002A77E8" w:rsidRDefault="006E2C3B" w:rsidP="006E2C3B">
      <w:pPr>
        <w:autoSpaceDE w:val="0"/>
        <w:autoSpaceDN w:val="0"/>
        <w:adjustRightInd w:val="0"/>
        <w:jc w:val="both"/>
        <w:rPr>
          <w:rFonts w:eastAsia="Helvetica-Narrow"/>
        </w:rPr>
      </w:pPr>
      <w:r w:rsidRPr="002A77E8">
        <w:rPr>
          <w:b/>
        </w:rPr>
        <w:t xml:space="preserve">Conclusion: </w:t>
      </w:r>
      <w:r w:rsidRPr="002A77E8">
        <w:rPr>
          <w:rFonts w:eastAsia="PalatinoLinotype-Roman"/>
        </w:rPr>
        <w:t xml:space="preserve">This retrospective analysis provides real time evidence regarding the efficacy and safety profile of </w:t>
      </w:r>
      <w:proofErr w:type="spellStart"/>
      <w:r w:rsidRPr="002A77E8">
        <w:rPr>
          <w:rFonts w:eastAsia="PalatinoLinotype-Roman"/>
        </w:rPr>
        <w:t>biosimilar</w:t>
      </w:r>
      <w:proofErr w:type="spellEnd"/>
      <w:r w:rsidRPr="002A77E8">
        <w:rPr>
          <w:rFonts w:eastAsia="PalatinoLinotype-Roman"/>
        </w:rPr>
        <w:t xml:space="preserve"> of </w:t>
      </w:r>
      <w:proofErr w:type="spellStart"/>
      <w:r w:rsidRPr="002A77E8">
        <w:rPr>
          <w:rFonts w:eastAsia="PalatinoLinotype-Roman"/>
        </w:rPr>
        <w:t>bevacizumab</w:t>
      </w:r>
      <w:proofErr w:type="spellEnd"/>
      <w:r w:rsidRPr="002A77E8">
        <w:rPr>
          <w:rFonts w:eastAsia="PalatinoLinotype-Roman"/>
        </w:rPr>
        <w:t xml:space="preserve">, </w:t>
      </w:r>
      <w:proofErr w:type="spellStart"/>
      <w:r w:rsidRPr="002A77E8">
        <w:rPr>
          <w:rFonts w:eastAsia="PalatinoLinotype-Roman"/>
        </w:rPr>
        <w:t>Zybev</w:t>
      </w:r>
      <w:proofErr w:type="spellEnd"/>
      <w:r w:rsidRPr="002A77E8">
        <w:rPr>
          <w:rFonts w:eastAsia="PalatinoLinotype-Roman"/>
        </w:rPr>
        <w:t xml:space="preserve">.  </w:t>
      </w:r>
      <w:r w:rsidRPr="002A77E8">
        <w:rPr>
          <w:rFonts w:eastAsia="Helvetica-Narrow"/>
        </w:rPr>
        <w:t xml:space="preserve">However, more long term, prospective safety and efficacy studies are still awaited, this short term </w:t>
      </w:r>
      <w:r>
        <w:rPr>
          <w:rFonts w:eastAsia="PalatinoLinotype-Roman"/>
        </w:rPr>
        <w:t>re</w:t>
      </w:r>
      <w:r w:rsidRPr="002A77E8">
        <w:rPr>
          <w:rFonts w:eastAsia="PalatinoLinotype-Roman"/>
        </w:rPr>
        <w:t>tro</w:t>
      </w:r>
      <w:r>
        <w:rPr>
          <w:rFonts w:eastAsia="PalatinoLinotype-Roman"/>
        </w:rPr>
        <w:t>s</w:t>
      </w:r>
      <w:r w:rsidRPr="002A77E8">
        <w:rPr>
          <w:rFonts w:eastAsia="PalatinoLinotype-Roman"/>
        </w:rPr>
        <w:t xml:space="preserve">pective data suggest that </w:t>
      </w:r>
      <w:proofErr w:type="spellStart"/>
      <w:r w:rsidRPr="002A77E8">
        <w:rPr>
          <w:rFonts w:eastAsia="PalatinoLinotype-Roman"/>
        </w:rPr>
        <w:t>Zybev</w:t>
      </w:r>
      <w:proofErr w:type="spellEnd"/>
      <w:r w:rsidRPr="002A77E8">
        <w:rPr>
          <w:rFonts w:eastAsia="PalatinoLinotype-Roman"/>
        </w:rPr>
        <w:t xml:space="preserve"> can be effective and safe in the management of </w:t>
      </w:r>
      <w:r w:rsidRPr="002A77E8">
        <w:rPr>
          <w:rFonts w:eastAsia="Helvetica-Narrow"/>
        </w:rPr>
        <w:t xml:space="preserve">ocular conditions including DME, wet AMD and RVO. </w:t>
      </w:r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6E2C3B" w:rsidP="005B7D07">
      <w:pPr>
        <w:jc w:val="both"/>
      </w:pPr>
      <w:r>
        <w:t xml:space="preserve">Dr Sandesh Warudkar, MBBS, MD (Pharmacology) has more than 10 years of experience in clinical practice and research. Currently working as Medical Advisor, with </w:t>
      </w:r>
      <w:proofErr w:type="spellStart"/>
      <w:r>
        <w:t>Cadila</w:t>
      </w:r>
      <w:proofErr w:type="spellEnd"/>
      <w:r>
        <w:t xml:space="preserve"> Healthcare Ltd, Ahmedabad, India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6E2C3B">
        <w:t>sandx.pharma@gmail.com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6E2C3B">
        <w:t>sandx.pharma@gmail.com</w:t>
      </w:r>
    </w:p>
    <w:p w:rsidR="006758A2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B057F9" w:rsidRPr="00B057F9">
        <w:t>+</w:t>
      </w:r>
      <w:r w:rsidR="006E2C3B">
        <w:t>91-7600796148</w:t>
      </w:r>
      <w:bookmarkStart w:id="0" w:name="_GoBack"/>
      <w:bookmarkEnd w:id="0"/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C4E" w:rsidRDefault="006D4C4E" w:rsidP="00BD61DA">
      <w:r>
        <w:separator/>
      </w:r>
    </w:p>
  </w:endnote>
  <w:endnote w:type="continuationSeparator" w:id="0">
    <w:p w:rsidR="006D4C4E" w:rsidRDefault="006D4C4E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C4E" w:rsidRDefault="006D4C4E" w:rsidP="00BD61DA">
      <w:r>
        <w:separator/>
      </w:r>
    </w:p>
  </w:footnote>
  <w:footnote w:type="continuationSeparator" w:id="0">
    <w:p w:rsidR="006D4C4E" w:rsidRDefault="006D4C4E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D4C4E"/>
    <w:rsid w:val="006E2C3B"/>
    <w:rsid w:val="007341F9"/>
    <w:rsid w:val="0078229D"/>
    <w:rsid w:val="00783BBE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9E55FD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D361A-3BE0-4C31-A80E-9A7F0717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Sandesh Warudkar</cp:lastModifiedBy>
  <cp:revision>3</cp:revision>
  <dcterms:created xsi:type="dcterms:W3CDTF">2018-02-27T09:24:00Z</dcterms:created>
  <dcterms:modified xsi:type="dcterms:W3CDTF">2018-03-06T07:52:00Z</dcterms:modified>
</cp:coreProperties>
</file>