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127" w:rsidRDefault="00640127" w:rsidP="00640127">
      <w:r w:rsidRPr="00640127">
        <w:t>Visual outcome of ocular trauma in children: role of parental ocular morbidity</w:t>
      </w:r>
    </w:p>
    <w:p w:rsidR="00640127" w:rsidRPr="00640127" w:rsidRDefault="00640127" w:rsidP="00640127">
      <w:pPr>
        <w:rPr>
          <w:lang w:val="en-US"/>
        </w:rPr>
      </w:pPr>
      <w:r w:rsidRPr="00640127">
        <w:t xml:space="preserve">Eye injury in children below 5 years is an important cause of unilateral blindness. Good visual status of parent is a prerequisite for proper outcome. Aim: Study the visual status of parents of children below five years coming with eye injuries. Method: Cross sectional hospital based study done for one year (2016).Preverbal visual acuity checked with drum and </w:t>
      </w:r>
      <w:proofErr w:type="spellStart"/>
      <w:r w:rsidRPr="00640127">
        <w:t>Snellen’s</w:t>
      </w:r>
      <w:proofErr w:type="spellEnd"/>
      <w:r w:rsidRPr="00640127">
        <w:t xml:space="preserve"> chart was used for parents and older children. Logistic regression was done .Results: 45 cases eye injuries were recorded below 5 years of age. No difference with gender. Unilateral 95%.60% presented within 24 hours. Mean acuity at presentation was 6/12 Mean VA of parents were 6/12. 55% cases mother had BCVA &lt;6/36 due to uncorrected refractive errors, cataract, trauma. Logistic regression analysis shows poor visual outcome with injuries occurring at home (OR 3.41) and with mother having poor vision (OR 3.51).Conclusion: Poor vision of parents can affect visual outcome in children sustaining eye injury.</w:t>
      </w:r>
    </w:p>
    <w:p w:rsidR="00FA3A74" w:rsidRDefault="00FA3A74"/>
    <w:sectPr w:rsidR="00FA3A74" w:rsidSect="00FA3A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40127"/>
    <w:rsid w:val="0037452E"/>
    <w:rsid w:val="00640127"/>
    <w:rsid w:val="00FA3A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A7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5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NILANJAN'S PAVILLION</dc:creator>
  <cp:lastModifiedBy>NILANJAN'S PAVILLION</cp:lastModifiedBy>
  <cp:revision>1</cp:revision>
  <dcterms:created xsi:type="dcterms:W3CDTF">2017-12-07T10:25:00Z</dcterms:created>
  <dcterms:modified xsi:type="dcterms:W3CDTF">2017-12-07T10:27:00Z</dcterms:modified>
</cp:coreProperties>
</file>