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095" w:rsidRPr="002B5A0F" w:rsidRDefault="00E94095" w:rsidP="00E94095">
      <w:pPr>
        <w:spacing w:after="0" w:line="240" w:lineRule="auto"/>
        <w:ind w:hanging="11"/>
        <w:jc w:val="both"/>
        <w:rPr>
          <w:rFonts w:ascii="Times New Roman" w:hAnsi="Times New Roman"/>
          <w:b/>
          <w:sz w:val="24"/>
          <w:szCs w:val="24"/>
        </w:rPr>
      </w:pPr>
      <w:r w:rsidRPr="002B5A0F">
        <w:rPr>
          <w:rFonts w:ascii="Times New Roman" w:hAnsi="Times New Roman"/>
          <w:b/>
          <w:sz w:val="24"/>
          <w:szCs w:val="24"/>
        </w:rPr>
        <w:t>ABSTRACT</w:t>
      </w:r>
    </w:p>
    <w:p w:rsidR="00E94095" w:rsidRPr="002B5A0F" w:rsidRDefault="00E94095" w:rsidP="00E94095">
      <w:pPr>
        <w:spacing w:after="0" w:line="240" w:lineRule="auto"/>
        <w:ind w:hanging="11"/>
        <w:jc w:val="both"/>
        <w:rPr>
          <w:rFonts w:ascii="Times New Roman" w:hAnsi="Times New Roman"/>
          <w:i/>
          <w:sz w:val="24"/>
          <w:szCs w:val="24"/>
        </w:rPr>
      </w:pPr>
      <w:r>
        <w:rPr>
          <w:rFonts w:ascii="Times New Roman" w:hAnsi="Times New Roman"/>
          <w:i/>
          <w:sz w:val="24"/>
          <w:szCs w:val="24"/>
        </w:rPr>
        <w:t xml:space="preserve">COMBINED ANTERIOR STROMAL PUNCTURE AND AMNIOTIC MEMBRANE TRANSPLANTATION FOR BULLOUS KERATOPATHY </w:t>
      </w:r>
    </w:p>
    <w:p w:rsidR="00E94095" w:rsidRPr="002B5A0F" w:rsidRDefault="00004596" w:rsidP="00E94095">
      <w:pPr>
        <w:spacing w:after="0" w:line="240" w:lineRule="auto"/>
        <w:ind w:hanging="11"/>
        <w:jc w:val="right"/>
        <w:rPr>
          <w:rFonts w:ascii="Times New Roman" w:hAnsi="Times New Roman"/>
          <w:i/>
          <w:sz w:val="24"/>
          <w:szCs w:val="24"/>
        </w:rPr>
      </w:pPr>
      <w:r>
        <w:rPr>
          <w:rFonts w:ascii="Times New Roman" w:hAnsi="Times New Roman"/>
          <w:bCs/>
          <w:i/>
          <w:sz w:val="24"/>
          <w:szCs w:val="24"/>
        </w:rPr>
        <w:t>Dan</w:t>
      </w:r>
      <w:r>
        <w:rPr>
          <w:rFonts w:ascii="Times New Roman" w:hAnsi="Times New Roman"/>
          <w:bCs/>
          <w:i/>
          <w:sz w:val="24"/>
          <w:szCs w:val="24"/>
        </w:rPr>
        <w:t xml:space="preserve"> </w:t>
      </w:r>
      <w:r w:rsidR="00E94095">
        <w:rPr>
          <w:rFonts w:ascii="Times New Roman" w:hAnsi="Times New Roman"/>
          <w:bCs/>
          <w:i/>
          <w:sz w:val="24"/>
          <w:szCs w:val="24"/>
        </w:rPr>
        <w:t>Nguyen Thuy</w:t>
      </w:r>
      <w:r w:rsidR="00E94095" w:rsidRPr="002B5A0F">
        <w:rPr>
          <w:rFonts w:ascii="Times New Roman" w:hAnsi="Times New Roman"/>
          <w:bCs/>
          <w:i/>
          <w:sz w:val="24"/>
          <w:szCs w:val="24"/>
        </w:rPr>
        <w:t xml:space="preserve">, </w:t>
      </w:r>
      <w:r>
        <w:rPr>
          <w:rFonts w:ascii="Times New Roman" w:hAnsi="Times New Roman"/>
          <w:bCs/>
          <w:i/>
          <w:sz w:val="24"/>
          <w:szCs w:val="24"/>
        </w:rPr>
        <w:t>Tuan</w:t>
      </w:r>
      <w:r>
        <w:rPr>
          <w:rFonts w:ascii="Times New Roman" w:hAnsi="Times New Roman"/>
          <w:bCs/>
          <w:i/>
          <w:sz w:val="24"/>
          <w:szCs w:val="24"/>
        </w:rPr>
        <w:t xml:space="preserve"> </w:t>
      </w:r>
      <w:r w:rsidR="00E94095">
        <w:rPr>
          <w:rFonts w:ascii="Times New Roman" w:hAnsi="Times New Roman"/>
          <w:bCs/>
          <w:i/>
          <w:sz w:val="24"/>
          <w:szCs w:val="24"/>
        </w:rPr>
        <w:t xml:space="preserve">Tran Anh, </w:t>
      </w:r>
      <w:r>
        <w:rPr>
          <w:rFonts w:ascii="Times New Roman" w:hAnsi="Times New Roman"/>
          <w:bCs/>
          <w:i/>
          <w:sz w:val="24"/>
          <w:szCs w:val="24"/>
        </w:rPr>
        <w:t>Thang</w:t>
      </w:r>
      <w:r>
        <w:rPr>
          <w:rFonts w:ascii="Times New Roman" w:hAnsi="Times New Roman"/>
          <w:bCs/>
          <w:i/>
          <w:sz w:val="24"/>
          <w:szCs w:val="24"/>
        </w:rPr>
        <w:t xml:space="preserve"> </w:t>
      </w:r>
      <w:r w:rsidR="00E94095">
        <w:rPr>
          <w:rFonts w:ascii="Times New Roman" w:hAnsi="Times New Roman"/>
          <w:bCs/>
          <w:i/>
          <w:sz w:val="24"/>
          <w:szCs w:val="24"/>
        </w:rPr>
        <w:t xml:space="preserve">Diep </w:t>
      </w:r>
      <w:proofErr w:type="spellStart"/>
      <w:r w:rsidR="00E94095">
        <w:rPr>
          <w:rFonts w:ascii="Times New Roman" w:hAnsi="Times New Roman"/>
          <w:bCs/>
          <w:i/>
          <w:sz w:val="24"/>
          <w:szCs w:val="24"/>
        </w:rPr>
        <w:t>Huu</w:t>
      </w:r>
      <w:proofErr w:type="spellEnd"/>
      <w:r w:rsidR="00E94095">
        <w:rPr>
          <w:rFonts w:ascii="Times New Roman" w:hAnsi="Times New Roman"/>
          <w:bCs/>
          <w:i/>
          <w:sz w:val="24"/>
          <w:szCs w:val="24"/>
        </w:rPr>
        <w:t xml:space="preserve"> </w:t>
      </w:r>
    </w:p>
    <w:p w:rsidR="00E94095" w:rsidRPr="002B5A0F" w:rsidRDefault="00E94095" w:rsidP="00E94095">
      <w:pPr>
        <w:spacing w:after="0" w:line="240" w:lineRule="auto"/>
        <w:ind w:hanging="11"/>
        <w:jc w:val="both"/>
        <w:rPr>
          <w:rFonts w:ascii="Times New Roman" w:hAnsi="Times New Roman"/>
          <w:i/>
          <w:sz w:val="24"/>
          <w:szCs w:val="24"/>
        </w:rPr>
      </w:pPr>
      <w:r>
        <w:rPr>
          <w:rFonts w:ascii="Times New Roman" w:hAnsi="Times New Roman"/>
          <w:b/>
          <w:i/>
          <w:sz w:val="24"/>
          <w:szCs w:val="24"/>
        </w:rPr>
        <w:t>OBJECTIVE</w:t>
      </w:r>
      <w:r w:rsidRPr="002B5A0F">
        <w:rPr>
          <w:rFonts w:ascii="Times New Roman" w:hAnsi="Times New Roman"/>
          <w:b/>
          <w:i/>
          <w:sz w:val="24"/>
          <w:szCs w:val="24"/>
        </w:rPr>
        <w:t xml:space="preserve">:  </w:t>
      </w:r>
      <w:r w:rsidRPr="002B5A0F">
        <w:rPr>
          <w:rFonts w:ascii="Times New Roman" w:hAnsi="Times New Roman"/>
          <w:i/>
          <w:sz w:val="24"/>
          <w:szCs w:val="24"/>
        </w:rPr>
        <w:t xml:space="preserve">To evaluate the </w:t>
      </w:r>
      <w:r>
        <w:rPr>
          <w:rFonts w:ascii="Times New Roman" w:hAnsi="Times New Roman"/>
          <w:i/>
          <w:sz w:val="24"/>
          <w:szCs w:val="24"/>
        </w:rPr>
        <w:t>therapeutic efficacy</w:t>
      </w:r>
      <w:r w:rsidRPr="002B5A0F">
        <w:rPr>
          <w:rFonts w:ascii="Times New Roman" w:hAnsi="Times New Roman"/>
          <w:i/>
          <w:sz w:val="24"/>
          <w:szCs w:val="24"/>
        </w:rPr>
        <w:t xml:space="preserve"> </w:t>
      </w:r>
      <w:r>
        <w:rPr>
          <w:rFonts w:ascii="Times New Roman" w:hAnsi="Times New Roman"/>
          <w:i/>
          <w:sz w:val="24"/>
          <w:szCs w:val="24"/>
        </w:rPr>
        <w:t>and safety of combined anterior stromal puncture (ASP) and amniotic membrane transplantation (AMT) in the management of symptomatic bullous keratopathy (BK).</w:t>
      </w:r>
      <w:bookmarkStart w:id="0" w:name="_GoBack"/>
      <w:bookmarkEnd w:id="0"/>
    </w:p>
    <w:p w:rsidR="00E94095" w:rsidRDefault="00E94095" w:rsidP="00E94095">
      <w:pPr>
        <w:spacing w:after="0" w:line="240" w:lineRule="auto"/>
        <w:ind w:hanging="11"/>
        <w:jc w:val="both"/>
        <w:rPr>
          <w:rFonts w:ascii="Times New Roman" w:hAnsi="Times New Roman"/>
          <w:i/>
          <w:sz w:val="24"/>
          <w:szCs w:val="24"/>
        </w:rPr>
      </w:pPr>
      <w:r w:rsidRPr="002B5A0F">
        <w:rPr>
          <w:rFonts w:ascii="Times New Roman" w:hAnsi="Times New Roman"/>
          <w:b/>
          <w:i/>
          <w:sz w:val="24"/>
          <w:szCs w:val="24"/>
        </w:rPr>
        <w:t xml:space="preserve">METHODS: </w:t>
      </w:r>
      <w:r w:rsidRPr="00703B07">
        <w:rPr>
          <w:rFonts w:ascii="Times New Roman" w:hAnsi="Times New Roman"/>
          <w:i/>
          <w:sz w:val="24"/>
          <w:szCs w:val="24"/>
        </w:rPr>
        <w:t>This prospective, non-comparative trial included 34 eyes (34 patients) suffering from intractably painful bullous keratopathy which is unresponsive to conservative measures (medicine, contact lens). After epithelial debridement, all eyes had ASP, followed by AMT with the basement membrane</w:t>
      </w:r>
      <w:r w:rsidR="00434AD0">
        <w:rPr>
          <w:rFonts w:ascii="Times New Roman" w:hAnsi="Times New Roman"/>
          <w:i/>
          <w:sz w:val="24"/>
          <w:szCs w:val="24"/>
        </w:rPr>
        <w:t xml:space="preserve"> in</w:t>
      </w:r>
      <w:r w:rsidRPr="00703B07">
        <w:rPr>
          <w:rFonts w:ascii="Times New Roman" w:hAnsi="Times New Roman"/>
          <w:i/>
          <w:sz w:val="24"/>
          <w:szCs w:val="24"/>
        </w:rPr>
        <w:t xml:space="preserve"> upward</w:t>
      </w:r>
      <w:r w:rsidR="00434AD0">
        <w:rPr>
          <w:rFonts w:ascii="Times New Roman" w:hAnsi="Times New Roman"/>
          <w:i/>
          <w:sz w:val="24"/>
          <w:szCs w:val="24"/>
        </w:rPr>
        <w:t xml:space="preserve"> orientation</w:t>
      </w:r>
      <w:r w:rsidRPr="00703B07">
        <w:rPr>
          <w:rFonts w:ascii="Times New Roman" w:hAnsi="Times New Roman"/>
          <w:i/>
          <w:sz w:val="24"/>
          <w:szCs w:val="24"/>
        </w:rPr>
        <w:t xml:space="preserve">. During a follow-up of 6 months after treatment, pain relief, </w:t>
      </w:r>
      <w:proofErr w:type="spellStart"/>
      <w:r w:rsidRPr="00703B07">
        <w:rPr>
          <w:rFonts w:ascii="Times New Roman" w:hAnsi="Times New Roman"/>
          <w:i/>
          <w:sz w:val="24"/>
          <w:szCs w:val="24"/>
        </w:rPr>
        <w:t>epiphora</w:t>
      </w:r>
      <w:proofErr w:type="spellEnd"/>
      <w:r w:rsidRPr="00703B07">
        <w:rPr>
          <w:rFonts w:ascii="Times New Roman" w:hAnsi="Times New Roman"/>
          <w:i/>
          <w:sz w:val="24"/>
          <w:szCs w:val="24"/>
        </w:rPr>
        <w:t xml:space="preserve"> reduction, epithelial healing, amniotic membrane retention, bullae recurrence, and visual changes were analyzed.</w:t>
      </w:r>
    </w:p>
    <w:p w:rsidR="00E94095" w:rsidRDefault="00E94095" w:rsidP="00E94095">
      <w:pPr>
        <w:spacing w:after="0" w:line="240" w:lineRule="auto"/>
        <w:ind w:hanging="11"/>
        <w:jc w:val="both"/>
        <w:rPr>
          <w:rFonts w:ascii="Times New Roman" w:hAnsi="Times New Roman"/>
          <w:i/>
          <w:sz w:val="24"/>
          <w:szCs w:val="24"/>
        </w:rPr>
      </w:pPr>
      <w:r w:rsidRPr="002B5A0F">
        <w:rPr>
          <w:rFonts w:ascii="Times New Roman" w:hAnsi="Times New Roman"/>
          <w:b/>
          <w:i/>
          <w:sz w:val="24"/>
          <w:szCs w:val="24"/>
        </w:rPr>
        <w:t>RESULTS:</w:t>
      </w:r>
      <w:r w:rsidRPr="002B5A0F">
        <w:rPr>
          <w:rFonts w:ascii="Times New Roman" w:hAnsi="Times New Roman"/>
          <w:i/>
          <w:sz w:val="24"/>
          <w:szCs w:val="24"/>
        </w:rPr>
        <w:t xml:space="preserve"> </w:t>
      </w:r>
      <w:r>
        <w:rPr>
          <w:rFonts w:ascii="Times New Roman" w:hAnsi="Times New Roman"/>
          <w:i/>
          <w:sz w:val="24"/>
          <w:szCs w:val="24"/>
        </w:rPr>
        <w:t>34 patients</w:t>
      </w:r>
      <w:r w:rsidR="00434AD0">
        <w:rPr>
          <w:rFonts w:ascii="Times New Roman" w:hAnsi="Times New Roman"/>
          <w:i/>
          <w:sz w:val="24"/>
          <w:szCs w:val="24"/>
        </w:rPr>
        <w:t xml:space="preserve"> (34 eyes)</w:t>
      </w:r>
      <w:r>
        <w:rPr>
          <w:rFonts w:ascii="Times New Roman" w:hAnsi="Times New Roman"/>
          <w:i/>
          <w:sz w:val="24"/>
          <w:szCs w:val="24"/>
        </w:rPr>
        <w:t xml:space="preserve">, </w:t>
      </w:r>
      <w:r w:rsidR="00642374">
        <w:rPr>
          <w:rFonts w:ascii="Times New Roman" w:hAnsi="Times New Roman"/>
          <w:i/>
          <w:sz w:val="24"/>
          <w:szCs w:val="24"/>
        </w:rPr>
        <w:t>18 men and 16 women</w:t>
      </w:r>
      <w:r w:rsidR="003E6541">
        <w:rPr>
          <w:rFonts w:ascii="Times New Roman" w:hAnsi="Times New Roman"/>
          <w:i/>
          <w:sz w:val="24"/>
          <w:szCs w:val="24"/>
        </w:rPr>
        <w:t>,</w:t>
      </w:r>
      <w:r w:rsidR="00434AD0">
        <w:rPr>
          <w:rFonts w:ascii="Times New Roman" w:hAnsi="Times New Roman"/>
          <w:i/>
          <w:sz w:val="24"/>
          <w:szCs w:val="24"/>
        </w:rPr>
        <w:t xml:space="preserve"> mean age</w:t>
      </w:r>
      <w:r>
        <w:rPr>
          <w:rFonts w:ascii="Times New Roman" w:hAnsi="Times New Roman"/>
          <w:i/>
          <w:sz w:val="24"/>
          <w:szCs w:val="24"/>
        </w:rPr>
        <w:t xml:space="preserve"> 62</w:t>
      </w:r>
      <w:proofErr w:type="gramStart"/>
      <w:r>
        <w:rPr>
          <w:rFonts w:ascii="Times New Roman" w:hAnsi="Times New Roman"/>
          <w:i/>
          <w:sz w:val="24"/>
          <w:szCs w:val="24"/>
        </w:rPr>
        <w:t>,41</w:t>
      </w:r>
      <w:proofErr w:type="gramEnd"/>
      <w:r>
        <w:rPr>
          <w:rFonts w:ascii="Times New Roman" w:hAnsi="Times New Roman"/>
          <w:i/>
          <w:sz w:val="24"/>
          <w:szCs w:val="24"/>
        </w:rPr>
        <w:t xml:space="preserve"> ± 14,02. Pain level decreased sharply at week 1 </w:t>
      </w:r>
      <w:r w:rsidR="003E6541">
        <w:rPr>
          <w:rFonts w:ascii="Times New Roman" w:hAnsi="Times New Roman"/>
          <w:i/>
          <w:sz w:val="24"/>
          <w:szCs w:val="24"/>
        </w:rPr>
        <w:t>post-op</w:t>
      </w:r>
      <w:r>
        <w:rPr>
          <w:rFonts w:ascii="Times New Roman" w:hAnsi="Times New Roman"/>
          <w:i/>
          <w:sz w:val="24"/>
          <w:szCs w:val="24"/>
        </w:rPr>
        <w:t>, decline more remarkably at week 4,</w:t>
      </w:r>
      <w:r w:rsidR="00556F77">
        <w:rPr>
          <w:rFonts w:ascii="Times New Roman" w:hAnsi="Times New Roman"/>
          <w:i/>
          <w:sz w:val="24"/>
          <w:szCs w:val="24"/>
        </w:rPr>
        <w:t xml:space="preserve"> and</w:t>
      </w:r>
      <w:r>
        <w:rPr>
          <w:rFonts w:ascii="Times New Roman" w:hAnsi="Times New Roman"/>
          <w:i/>
          <w:sz w:val="24"/>
          <w:szCs w:val="24"/>
        </w:rPr>
        <w:t xml:space="preserve"> then plateaued to month 3 and month 6. Complete pain relief was achieved in 30 patients (88</w:t>
      </w:r>
      <w:proofErr w:type="gramStart"/>
      <w:r>
        <w:rPr>
          <w:rFonts w:ascii="Times New Roman" w:hAnsi="Times New Roman"/>
          <w:i/>
          <w:sz w:val="24"/>
          <w:szCs w:val="24"/>
        </w:rPr>
        <w:t>,2</w:t>
      </w:r>
      <w:proofErr w:type="gramEnd"/>
      <w:r>
        <w:rPr>
          <w:rFonts w:ascii="Times New Roman" w:hAnsi="Times New Roman"/>
          <w:i/>
          <w:sz w:val="24"/>
          <w:szCs w:val="24"/>
        </w:rPr>
        <w:t xml:space="preserve">%) after the 6-month follow-up. Bullae </w:t>
      </w:r>
      <w:r w:rsidR="00556F77">
        <w:rPr>
          <w:rFonts w:ascii="Times New Roman" w:hAnsi="Times New Roman"/>
          <w:i/>
          <w:sz w:val="24"/>
          <w:szCs w:val="24"/>
        </w:rPr>
        <w:t>were resolved in all but 9 eyes whose bullae</w:t>
      </w:r>
      <w:r>
        <w:rPr>
          <w:rFonts w:ascii="Times New Roman" w:hAnsi="Times New Roman"/>
          <w:i/>
          <w:sz w:val="24"/>
          <w:szCs w:val="24"/>
        </w:rPr>
        <w:t xml:space="preserve"> were in smaller areas. </w:t>
      </w:r>
      <w:r w:rsidR="00792482">
        <w:rPr>
          <w:rFonts w:ascii="Times New Roman" w:hAnsi="Times New Roman"/>
          <w:i/>
          <w:sz w:val="24"/>
          <w:szCs w:val="24"/>
        </w:rPr>
        <w:t xml:space="preserve">Post-operative </w:t>
      </w:r>
      <w:proofErr w:type="spellStart"/>
      <w:r w:rsidR="00792482">
        <w:rPr>
          <w:rFonts w:ascii="Times New Roman" w:hAnsi="Times New Roman"/>
          <w:i/>
          <w:sz w:val="24"/>
          <w:szCs w:val="24"/>
        </w:rPr>
        <w:t>e</w:t>
      </w:r>
      <w:r>
        <w:rPr>
          <w:rFonts w:ascii="Times New Roman" w:hAnsi="Times New Roman"/>
          <w:i/>
          <w:sz w:val="24"/>
          <w:szCs w:val="24"/>
        </w:rPr>
        <w:t>piphora</w:t>
      </w:r>
      <w:proofErr w:type="spellEnd"/>
      <w:r w:rsidR="00792482">
        <w:rPr>
          <w:rFonts w:ascii="Times New Roman" w:hAnsi="Times New Roman"/>
          <w:i/>
          <w:sz w:val="24"/>
          <w:szCs w:val="24"/>
        </w:rPr>
        <w:t xml:space="preserve"> severity (</w:t>
      </w:r>
      <w:proofErr w:type="spellStart"/>
      <w:r w:rsidR="00792482">
        <w:rPr>
          <w:rFonts w:ascii="Times New Roman" w:hAnsi="Times New Roman"/>
          <w:i/>
          <w:sz w:val="24"/>
          <w:szCs w:val="24"/>
        </w:rPr>
        <w:t>Munk’s</w:t>
      </w:r>
      <w:proofErr w:type="spellEnd"/>
      <w:r w:rsidR="00792482">
        <w:rPr>
          <w:rFonts w:ascii="Times New Roman" w:hAnsi="Times New Roman"/>
          <w:i/>
          <w:sz w:val="24"/>
          <w:szCs w:val="24"/>
        </w:rPr>
        <w:t xml:space="preserve"> scale) was</w:t>
      </w:r>
      <w:r>
        <w:rPr>
          <w:rFonts w:ascii="Times New Roman" w:hAnsi="Times New Roman"/>
          <w:i/>
          <w:sz w:val="24"/>
          <w:szCs w:val="24"/>
        </w:rPr>
        <w:t xml:space="preserve"> significantly </w:t>
      </w:r>
      <w:r w:rsidR="00792482">
        <w:rPr>
          <w:rFonts w:ascii="Times New Roman" w:hAnsi="Times New Roman"/>
          <w:i/>
          <w:sz w:val="24"/>
          <w:szCs w:val="24"/>
        </w:rPr>
        <w:t>lower than it was pre-operatively</w:t>
      </w:r>
      <w:r>
        <w:rPr>
          <w:rFonts w:ascii="Times New Roman" w:hAnsi="Times New Roman"/>
          <w:i/>
          <w:sz w:val="24"/>
          <w:szCs w:val="24"/>
        </w:rPr>
        <w:t>. The mean time for complete re-epithelialization was 6</w:t>
      </w:r>
      <w:proofErr w:type="gramStart"/>
      <w:r>
        <w:rPr>
          <w:rFonts w:ascii="Times New Roman" w:hAnsi="Times New Roman"/>
          <w:i/>
          <w:sz w:val="24"/>
          <w:szCs w:val="24"/>
        </w:rPr>
        <w:t>,91</w:t>
      </w:r>
      <w:proofErr w:type="gramEnd"/>
      <w:r>
        <w:rPr>
          <w:rFonts w:ascii="Times New Roman" w:hAnsi="Times New Roman"/>
          <w:i/>
          <w:sz w:val="24"/>
          <w:szCs w:val="24"/>
        </w:rPr>
        <w:t xml:space="preserve"> ± 1,8 days. Amnion was completely absorbed in 10 eyes (29</w:t>
      </w:r>
      <w:proofErr w:type="gramStart"/>
      <w:r>
        <w:rPr>
          <w:rFonts w:ascii="Times New Roman" w:hAnsi="Times New Roman"/>
          <w:i/>
          <w:sz w:val="24"/>
          <w:szCs w:val="24"/>
        </w:rPr>
        <w:t>,4</w:t>
      </w:r>
      <w:proofErr w:type="gramEnd"/>
      <w:r>
        <w:rPr>
          <w:rFonts w:ascii="Times New Roman" w:hAnsi="Times New Roman"/>
          <w:i/>
          <w:sz w:val="24"/>
          <w:szCs w:val="24"/>
        </w:rPr>
        <w:t xml:space="preserve">%), partially absorbed in 19 eyes (55,9%), and remained intact in 5 eyes (14,7%). </w:t>
      </w:r>
      <w:r w:rsidR="00642374">
        <w:rPr>
          <w:rFonts w:ascii="Times New Roman" w:hAnsi="Times New Roman"/>
          <w:i/>
          <w:sz w:val="24"/>
          <w:szCs w:val="24"/>
        </w:rPr>
        <w:t>The visual acuities were</w:t>
      </w:r>
      <w:r w:rsidRPr="00703B07">
        <w:rPr>
          <w:rFonts w:ascii="Times New Roman" w:hAnsi="Times New Roman"/>
          <w:i/>
          <w:sz w:val="24"/>
          <w:szCs w:val="24"/>
        </w:rPr>
        <w:t xml:space="preserve"> mostly stable after treatment. </w:t>
      </w:r>
    </w:p>
    <w:p w:rsidR="00E94095" w:rsidRDefault="00E94095" w:rsidP="00E94095">
      <w:pPr>
        <w:spacing w:after="0" w:line="240" w:lineRule="auto"/>
        <w:ind w:hanging="11"/>
        <w:jc w:val="both"/>
        <w:rPr>
          <w:rFonts w:ascii="Times New Roman" w:hAnsi="Times New Roman"/>
          <w:i/>
          <w:sz w:val="24"/>
          <w:szCs w:val="24"/>
        </w:rPr>
      </w:pPr>
      <w:r w:rsidRPr="002B5A0F">
        <w:rPr>
          <w:rFonts w:ascii="Times New Roman" w:hAnsi="Times New Roman"/>
          <w:b/>
          <w:i/>
          <w:sz w:val="24"/>
          <w:szCs w:val="24"/>
        </w:rPr>
        <w:t>CONCLUSIONS:</w:t>
      </w:r>
      <w:r w:rsidRPr="002B5A0F">
        <w:rPr>
          <w:rFonts w:ascii="Times New Roman" w:hAnsi="Times New Roman"/>
          <w:i/>
          <w:sz w:val="24"/>
          <w:szCs w:val="24"/>
        </w:rPr>
        <w:t xml:space="preserve"> </w:t>
      </w:r>
      <w:r>
        <w:rPr>
          <w:rFonts w:ascii="Times New Roman" w:hAnsi="Times New Roman"/>
          <w:i/>
          <w:sz w:val="24"/>
          <w:szCs w:val="24"/>
        </w:rPr>
        <w:t xml:space="preserve">ASP combined with AMT can be considered to be an effective and safe alternative in symptomatic BK treatment. It can be helpful for those </w:t>
      </w:r>
      <w:r w:rsidR="00642374">
        <w:rPr>
          <w:rFonts w:ascii="Times New Roman" w:hAnsi="Times New Roman"/>
          <w:i/>
          <w:sz w:val="24"/>
          <w:szCs w:val="24"/>
        </w:rPr>
        <w:t xml:space="preserve">who are </w:t>
      </w:r>
      <w:r>
        <w:rPr>
          <w:rFonts w:ascii="Times New Roman" w:hAnsi="Times New Roman"/>
          <w:i/>
          <w:sz w:val="24"/>
          <w:szCs w:val="24"/>
        </w:rPr>
        <w:t xml:space="preserve">unresponsive to conservative measures, </w:t>
      </w:r>
      <w:r w:rsidR="00556F77">
        <w:rPr>
          <w:rFonts w:ascii="Times New Roman" w:hAnsi="Times New Roman"/>
          <w:i/>
          <w:sz w:val="24"/>
          <w:szCs w:val="24"/>
        </w:rPr>
        <w:t xml:space="preserve">and </w:t>
      </w:r>
      <w:r>
        <w:rPr>
          <w:rFonts w:ascii="Times New Roman" w:hAnsi="Times New Roman"/>
          <w:i/>
          <w:sz w:val="24"/>
          <w:szCs w:val="24"/>
        </w:rPr>
        <w:t>live in places where</w:t>
      </w:r>
      <w:r w:rsidR="00792482">
        <w:rPr>
          <w:rFonts w:ascii="Times New Roman" w:hAnsi="Times New Roman"/>
          <w:i/>
          <w:sz w:val="24"/>
          <w:szCs w:val="24"/>
        </w:rPr>
        <w:t xml:space="preserve"> corneal transplantation is un</w:t>
      </w:r>
      <w:r>
        <w:rPr>
          <w:rFonts w:ascii="Times New Roman" w:hAnsi="Times New Roman"/>
          <w:i/>
          <w:sz w:val="24"/>
          <w:szCs w:val="24"/>
        </w:rPr>
        <w:t xml:space="preserve">available or unaffordable.  </w:t>
      </w:r>
    </w:p>
    <w:p w:rsidR="00E94095" w:rsidRPr="002B5A0F" w:rsidRDefault="00E94095" w:rsidP="00E94095">
      <w:pPr>
        <w:spacing w:after="0" w:line="240" w:lineRule="auto"/>
        <w:ind w:hanging="11"/>
        <w:jc w:val="both"/>
        <w:rPr>
          <w:rFonts w:ascii="Times New Roman" w:hAnsi="Times New Roman"/>
          <w:i/>
          <w:sz w:val="24"/>
          <w:szCs w:val="24"/>
        </w:rPr>
      </w:pPr>
      <w:r w:rsidRPr="008C5CD5">
        <w:rPr>
          <w:rFonts w:ascii="Times New Roman" w:hAnsi="Times New Roman"/>
          <w:b/>
          <w:i/>
          <w:sz w:val="24"/>
          <w:szCs w:val="24"/>
        </w:rPr>
        <w:t>Key words</w:t>
      </w:r>
      <w:r>
        <w:rPr>
          <w:rFonts w:ascii="Times New Roman" w:hAnsi="Times New Roman"/>
          <w:i/>
          <w:sz w:val="24"/>
          <w:szCs w:val="24"/>
        </w:rPr>
        <w:t>: anterior stromal puncture, amniotic membrane, bullous keratopathy.</w:t>
      </w:r>
    </w:p>
    <w:p w:rsidR="00C94C9F" w:rsidRDefault="00004596"/>
    <w:sectPr w:rsidR="00C94C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095"/>
    <w:rsid w:val="00004596"/>
    <w:rsid w:val="003E6541"/>
    <w:rsid w:val="00416D88"/>
    <w:rsid w:val="00434AD0"/>
    <w:rsid w:val="00556F77"/>
    <w:rsid w:val="00642374"/>
    <w:rsid w:val="00692A21"/>
    <w:rsid w:val="00792482"/>
    <w:rsid w:val="00C55ACE"/>
    <w:rsid w:val="00E9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42D8F-7019-4AD0-8691-4543A91C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09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 Ly</dc:creator>
  <cp:keywords/>
  <dc:description/>
  <cp:lastModifiedBy>Son Ly</cp:lastModifiedBy>
  <cp:revision>8</cp:revision>
  <dcterms:created xsi:type="dcterms:W3CDTF">2017-01-15T03:30:00Z</dcterms:created>
  <dcterms:modified xsi:type="dcterms:W3CDTF">2017-01-16T08:41:00Z</dcterms:modified>
</cp:coreProperties>
</file>