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jc w:val="both"/>
        <w:rPr>
          <w:rFonts w:ascii="Times" w:cs="Times" w:hAnsi="Times" w:eastAsia="Times"/>
          <w:b w:val="1"/>
          <w:bCs w:val="1"/>
          <w:sz w:val="32"/>
          <w:szCs w:val="32"/>
        </w:rPr>
      </w:pPr>
      <w:r>
        <w:rPr>
          <w:rFonts w:ascii="Times" w:hAnsi="Times"/>
          <w:b w:val="1"/>
          <w:bCs w:val="1"/>
          <w:sz w:val="32"/>
          <w:szCs w:val="32"/>
          <w:rtl w:val="0"/>
          <w:lang w:val="en-US"/>
        </w:rPr>
        <w:t xml:space="preserve">Spontaneous closure of macular hole after pars plana vitrectomy: a case report </w:t>
      </w:r>
    </w:p>
    <w:p>
      <w:pPr>
        <w:pStyle w:val="Body"/>
        <w:spacing w:line="480" w:lineRule="auto"/>
        <w:jc w:val="both"/>
        <w:rPr>
          <w:rFonts w:ascii="Times" w:cs="Times" w:hAnsi="Times" w:eastAsia="Times"/>
          <w:sz w:val="28"/>
          <w:szCs w:val="28"/>
        </w:rPr>
      </w:pPr>
      <w:r>
        <w:rPr>
          <w:rFonts w:ascii="Times" w:hAnsi="Times"/>
          <w:sz w:val="28"/>
          <w:szCs w:val="28"/>
          <w:rtl w:val="0"/>
          <w:lang w:val="en-US"/>
        </w:rPr>
        <w:t>Rajya Laxmi Gurung, MD</w:t>
      </w:r>
    </w:p>
    <w:p>
      <w:pPr>
        <w:pStyle w:val="Body"/>
        <w:spacing w:line="480" w:lineRule="auto"/>
        <w:jc w:val="both"/>
        <w:rPr>
          <w:rFonts w:ascii="Times" w:cs="Times" w:hAnsi="Times" w:eastAsia="Times"/>
          <w:sz w:val="28"/>
          <w:szCs w:val="28"/>
        </w:rPr>
      </w:pPr>
    </w:p>
    <w:p>
      <w:pPr>
        <w:pStyle w:val="Body"/>
        <w:spacing w:line="480" w:lineRule="auto"/>
        <w:jc w:val="both"/>
        <w:rPr>
          <w:rFonts w:ascii="Times" w:cs="Times" w:hAnsi="Times" w:eastAsia="Times"/>
          <w:b w:val="1"/>
          <w:bCs w:val="1"/>
          <w:sz w:val="28"/>
          <w:szCs w:val="28"/>
        </w:rPr>
      </w:pPr>
      <w:r>
        <w:rPr>
          <w:rFonts w:ascii="Times" w:hAnsi="Times"/>
          <w:b w:val="1"/>
          <w:bCs w:val="1"/>
          <w:sz w:val="28"/>
          <w:szCs w:val="28"/>
          <w:rtl w:val="0"/>
          <w:lang w:val="en-US"/>
        </w:rPr>
        <w:t xml:space="preserve">Abstract : </w:t>
      </w:r>
    </w:p>
    <w:p>
      <w:pPr>
        <w:pStyle w:val="Body"/>
        <w:spacing w:line="480" w:lineRule="auto"/>
        <w:jc w:val="both"/>
        <w:rPr>
          <w:rFonts w:ascii="Times" w:cs="Times" w:hAnsi="Times" w:eastAsia="Times"/>
          <w:sz w:val="28"/>
          <w:szCs w:val="28"/>
        </w:rPr>
      </w:pPr>
      <w:r>
        <w:rPr>
          <w:rFonts w:ascii="Times" w:hAnsi="Times"/>
          <w:sz w:val="28"/>
          <w:szCs w:val="28"/>
          <w:u w:val="single"/>
          <w:rtl w:val="0"/>
          <w:lang w:val="en-US"/>
        </w:rPr>
        <w:t>Background:</w:t>
      </w:r>
      <w:r>
        <w:rPr>
          <w:rFonts w:ascii="Times" w:hAnsi="Times"/>
          <w:sz w:val="28"/>
          <w:szCs w:val="28"/>
          <w:rtl w:val="0"/>
          <w:lang w:val="en-US"/>
        </w:rPr>
        <w:t xml:space="preserve"> Spontaneous closure of full thickness macular hole (FTMH) is very rare event. Spontaneous closure is seen more commonly in traumatic macular hole (TMH ) but very uncommon in post vitrectomy macular hole.  We report a case of full thickness macular (FTMH)  with spontaneous closure in previously vitrectomized eye with improvement in final best corrected visual acuity (BCVA). </w:t>
      </w:r>
    </w:p>
    <w:p>
      <w:pPr>
        <w:pStyle w:val="Body"/>
        <w:spacing w:line="480" w:lineRule="auto"/>
        <w:jc w:val="both"/>
        <w:rPr>
          <w:rFonts w:ascii="Times" w:cs="Times" w:hAnsi="Times" w:eastAsia="Times"/>
          <w:sz w:val="28"/>
          <w:szCs w:val="28"/>
        </w:rPr>
      </w:pPr>
      <w:r>
        <w:rPr>
          <w:rFonts w:ascii="Times" w:hAnsi="Times"/>
          <w:sz w:val="28"/>
          <w:szCs w:val="28"/>
          <w:u w:val="single"/>
          <w:rtl w:val="0"/>
          <w:lang w:val="en-US"/>
        </w:rPr>
        <w:t>Case presentation:</w:t>
      </w:r>
      <w:r>
        <w:rPr>
          <w:rFonts w:ascii="Times" w:hAnsi="Times"/>
          <w:sz w:val="28"/>
          <w:szCs w:val="28"/>
          <w:rtl w:val="0"/>
          <w:lang w:val="en-US"/>
        </w:rPr>
        <w:t xml:space="preserve"> A 26 year old male patient  underwent combined Pars Plana Vitrectomy (PPV) and Pars Plana baerveldt shunt insertion and phacoemulsification  for traumatic vitreous haemorrhage with cataract and angle recession glaucoma.   There was no intraoperative complications. The patient developed full thickness macular hole (FTMH) 2 weeks postoperatively. The FTMH closed spontaneously on 3 week follow up with improvement in  best corrected visual acuity</w:t>
      </w:r>
    </w:p>
    <w:p>
      <w:pPr>
        <w:pStyle w:val="Body"/>
        <w:spacing w:line="480" w:lineRule="auto"/>
        <w:jc w:val="both"/>
        <w:rPr>
          <w:rFonts w:ascii="Times" w:cs="Times" w:hAnsi="Times" w:eastAsia="Times"/>
          <w:sz w:val="28"/>
          <w:szCs w:val="28"/>
        </w:rPr>
      </w:pPr>
      <w:r>
        <w:rPr>
          <w:rFonts w:ascii="Times" w:hAnsi="Times"/>
          <w:sz w:val="28"/>
          <w:szCs w:val="28"/>
          <w:u w:val="single"/>
          <w:rtl w:val="0"/>
          <w:lang w:val="en-US"/>
        </w:rPr>
        <w:t>Conclusion:</w:t>
      </w:r>
      <w:r>
        <w:rPr>
          <w:rFonts w:ascii="Times" w:hAnsi="Times"/>
          <w:sz w:val="28"/>
          <w:szCs w:val="28"/>
          <w:rtl w:val="0"/>
          <w:lang w:val="en-US"/>
        </w:rPr>
        <w:t xml:space="preserve"> Though very rare event,  </w:t>
      </w:r>
      <w:r>
        <w:rPr>
          <w:rFonts w:ascii="Times" w:hAnsi="Times"/>
          <w:sz w:val="28"/>
          <w:szCs w:val="28"/>
          <w:rtl w:val="0"/>
          <w:lang w:val="en-US"/>
        </w:rPr>
        <w:t xml:space="preserve">spontaneous closure of macular holes developed after vitrectomy can happen as part of their natural course </w:t>
      </w:r>
      <w:r>
        <w:rPr>
          <w:rFonts w:ascii="Times" w:hAnsi="Times"/>
          <w:sz w:val="28"/>
          <w:szCs w:val="28"/>
          <w:rtl w:val="0"/>
          <w:lang w:val="en-US"/>
        </w:rPr>
        <w:t>.  Observation in the initial stage is a reasonable management option .</w:t>
      </w:r>
    </w:p>
    <w:p>
      <w:pPr>
        <w:pStyle w:val="Body"/>
        <w:spacing w:line="480" w:lineRule="auto"/>
        <w:jc w:val="both"/>
        <w:rPr>
          <w:rFonts w:ascii="Times" w:cs="Times" w:hAnsi="Times" w:eastAsia="Times"/>
          <w:sz w:val="28"/>
          <w:szCs w:val="28"/>
        </w:rPr>
      </w:pPr>
      <w:r>
        <w:rPr>
          <w:rFonts w:ascii="Times" w:hAnsi="Times"/>
          <w:sz w:val="28"/>
          <w:szCs w:val="28"/>
          <w:u w:val="single"/>
          <w:rtl w:val="0"/>
          <w:lang w:val="en-US"/>
        </w:rPr>
        <w:t>Keywords:</w:t>
      </w:r>
      <w:r>
        <w:rPr>
          <w:rFonts w:ascii="Times" w:hAnsi="Times"/>
          <w:sz w:val="28"/>
          <w:szCs w:val="28"/>
          <w:rtl w:val="0"/>
          <w:lang w:val="en-US"/>
        </w:rPr>
        <w:t xml:space="preserve">  M</w:t>
      </w:r>
      <w:r>
        <w:rPr>
          <w:rFonts w:ascii="Times" w:hAnsi="Times"/>
          <w:sz w:val="28"/>
          <w:szCs w:val="28"/>
          <w:rtl w:val="0"/>
        </w:rPr>
        <w:t>acular hole</w:t>
      </w:r>
      <w:r>
        <w:rPr>
          <w:rFonts w:ascii="Times" w:hAnsi="Times"/>
          <w:sz w:val="28"/>
          <w:szCs w:val="28"/>
          <w:rtl w:val="0"/>
          <w:lang w:val="en-US"/>
        </w:rPr>
        <w:t xml:space="preserve"> -</w:t>
      </w:r>
      <w:r>
        <w:rPr>
          <w:rFonts w:ascii="Times" w:hAnsi="Times"/>
          <w:sz w:val="28"/>
          <w:szCs w:val="28"/>
          <w:rtl w:val="0"/>
        </w:rPr>
        <w:t xml:space="preserve"> </w:t>
      </w:r>
      <w:r>
        <w:rPr>
          <w:rFonts w:ascii="Times" w:hAnsi="Times"/>
          <w:sz w:val="28"/>
          <w:szCs w:val="28"/>
          <w:rtl w:val="0"/>
          <w:lang w:val="en-US"/>
        </w:rPr>
        <w:t>S</w:t>
      </w:r>
      <w:r>
        <w:rPr>
          <w:rFonts w:ascii="Times" w:hAnsi="Times"/>
          <w:sz w:val="28"/>
          <w:szCs w:val="28"/>
          <w:rtl w:val="0"/>
          <w:lang w:val="en-US"/>
        </w:rPr>
        <w:t>pontaneous closure</w:t>
      </w:r>
      <w:r>
        <w:rPr>
          <w:rFonts w:ascii="Times" w:hAnsi="Times"/>
          <w:sz w:val="28"/>
          <w:szCs w:val="28"/>
          <w:rtl w:val="0"/>
          <w:lang w:val="en-US"/>
        </w:rPr>
        <w:t xml:space="preserve"> - V</w:t>
      </w:r>
      <w:r>
        <w:rPr>
          <w:rFonts w:ascii="Times" w:hAnsi="Times"/>
          <w:sz w:val="28"/>
          <w:szCs w:val="28"/>
          <w:rtl w:val="0"/>
        </w:rPr>
        <w:t>itrectomy</w:t>
      </w:r>
    </w:p>
    <w:p>
      <w:pPr>
        <w:pStyle w:val="Body"/>
        <w:spacing w:line="480" w:lineRule="auto"/>
        <w:jc w:val="both"/>
        <w:rPr>
          <w:rFonts w:ascii="Times" w:cs="Times" w:hAnsi="Times" w:eastAsia="Times"/>
          <w:sz w:val="28"/>
          <w:szCs w:val="28"/>
        </w:rPr>
      </w:pPr>
    </w:p>
    <w:p>
      <w:pPr>
        <w:pStyle w:val="Body"/>
        <w:spacing w:line="480" w:lineRule="auto"/>
        <w:jc w:val="both"/>
        <w:rPr>
          <w:rFonts w:ascii="Times" w:cs="Times" w:hAnsi="Times" w:eastAsia="Times"/>
          <w:b w:val="1"/>
          <w:bCs w:val="1"/>
          <w:sz w:val="28"/>
          <w:szCs w:val="28"/>
        </w:rPr>
      </w:pPr>
      <w:r>
        <w:rPr>
          <w:rFonts w:ascii="Times" w:hAnsi="Times"/>
          <w:b w:val="1"/>
          <w:bCs w:val="1"/>
          <w:sz w:val="28"/>
          <w:szCs w:val="28"/>
          <w:rtl w:val="0"/>
          <w:lang w:val="en-US"/>
        </w:rPr>
        <w:t>Corresponding author :</w:t>
      </w:r>
    </w:p>
    <w:p>
      <w:pPr>
        <w:pStyle w:val="Body"/>
        <w:spacing w:line="480" w:lineRule="auto"/>
        <w:jc w:val="both"/>
        <w:rPr>
          <w:rFonts w:ascii="Times" w:cs="Times" w:hAnsi="Times" w:eastAsia="Times"/>
          <w:sz w:val="28"/>
          <w:szCs w:val="28"/>
        </w:rPr>
      </w:pPr>
      <w:r>
        <w:rPr>
          <w:rFonts w:ascii="Times" w:hAnsi="Times"/>
          <w:sz w:val="28"/>
          <w:szCs w:val="28"/>
          <w:rtl w:val="0"/>
          <w:lang w:val="en-US"/>
        </w:rPr>
        <w:t>Rajya Laxmi Gurung , MD</w:t>
      </w:r>
    </w:p>
    <w:p>
      <w:pPr>
        <w:pStyle w:val="Body"/>
        <w:spacing w:line="480" w:lineRule="auto"/>
        <w:jc w:val="both"/>
        <w:rPr>
          <w:rFonts w:ascii="Times" w:cs="Times" w:hAnsi="Times" w:eastAsia="Times"/>
          <w:sz w:val="28"/>
          <w:szCs w:val="28"/>
        </w:rPr>
      </w:pPr>
      <w:r>
        <w:rPr>
          <w:rFonts w:ascii="Times" w:hAnsi="Times"/>
          <w:sz w:val="28"/>
          <w:szCs w:val="28"/>
          <w:rtl w:val="0"/>
          <w:lang w:val="en-US"/>
        </w:rPr>
        <w:t>Vitreo-retina department</w:t>
      </w:r>
    </w:p>
    <w:p>
      <w:pPr>
        <w:pStyle w:val="Body"/>
        <w:spacing w:line="480" w:lineRule="auto"/>
        <w:jc w:val="both"/>
        <w:rPr>
          <w:rFonts w:ascii="Times" w:cs="Times" w:hAnsi="Times" w:eastAsia="Times"/>
          <w:sz w:val="28"/>
          <w:szCs w:val="28"/>
        </w:rPr>
      </w:pPr>
      <w:r>
        <w:rPr>
          <w:rFonts w:ascii="Times" w:hAnsi="Times"/>
          <w:sz w:val="28"/>
          <w:szCs w:val="28"/>
          <w:rtl w:val="0"/>
          <w:lang w:val="en-US"/>
        </w:rPr>
        <w:t>Biratnagar Eye Hospital,</w:t>
      </w:r>
    </w:p>
    <w:p>
      <w:pPr>
        <w:pStyle w:val="Body"/>
        <w:spacing w:line="480" w:lineRule="auto"/>
        <w:jc w:val="both"/>
        <w:rPr>
          <w:rFonts w:ascii="Times" w:cs="Times" w:hAnsi="Times" w:eastAsia="Times"/>
          <w:sz w:val="28"/>
          <w:szCs w:val="28"/>
        </w:rPr>
      </w:pPr>
      <w:r>
        <w:rPr>
          <w:rFonts w:ascii="Times" w:hAnsi="Times"/>
          <w:sz w:val="28"/>
          <w:szCs w:val="28"/>
          <w:rtl w:val="0"/>
          <w:lang w:val="en-US"/>
        </w:rPr>
        <w:t>Mills area, Rani 17</w:t>
      </w:r>
    </w:p>
    <w:p>
      <w:pPr>
        <w:pStyle w:val="Body"/>
        <w:spacing w:line="480" w:lineRule="auto"/>
        <w:jc w:val="both"/>
        <w:rPr>
          <w:rFonts w:ascii="Times" w:cs="Times" w:hAnsi="Times" w:eastAsia="Times"/>
          <w:sz w:val="28"/>
          <w:szCs w:val="28"/>
        </w:rPr>
      </w:pPr>
      <w:r>
        <w:rPr>
          <w:rFonts w:ascii="Times" w:hAnsi="Times"/>
          <w:sz w:val="28"/>
          <w:szCs w:val="28"/>
          <w:rtl w:val="0"/>
          <w:lang w:val="en-US"/>
        </w:rPr>
        <w:t>Biratnagar, Nepal</w:t>
      </w:r>
    </w:p>
    <w:p>
      <w:pPr>
        <w:pStyle w:val="Body"/>
        <w:spacing w:line="480" w:lineRule="auto"/>
        <w:jc w:val="both"/>
        <w:rPr>
          <w:rFonts w:ascii="Times" w:cs="Times" w:hAnsi="Times" w:eastAsia="Times"/>
          <w:sz w:val="28"/>
          <w:szCs w:val="28"/>
        </w:rPr>
      </w:pPr>
      <w:r>
        <w:rPr>
          <w:rFonts w:ascii="Times" w:hAnsi="Times"/>
          <w:sz w:val="28"/>
          <w:szCs w:val="28"/>
          <w:rtl w:val="0"/>
          <w:lang w:val="en-US"/>
        </w:rPr>
        <w:t>Email: rajya82@yahoo.com</w:t>
      </w:r>
    </w:p>
    <w:p>
      <w:pPr>
        <w:pStyle w:val="Body"/>
        <w:spacing w:line="480" w:lineRule="auto"/>
        <w:jc w:val="both"/>
        <w:rPr>
          <w:rFonts w:ascii="Times" w:cs="Times" w:hAnsi="Times" w:eastAsia="Times"/>
          <w:sz w:val="28"/>
          <w:szCs w:val="28"/>
        </w:rPr>
      </w:pPr>
    </w:p>
    <w:p>
      <w:pPr>
        <w:pStyle w:val="Body"/>
        <w:spacing w:line="480" w:lineRule="auto"/>
        <w:jc w:val="both"/>
      </w:pPr>
      <w:r>
        <w:rPr>
          <w:rFonts w:ascii="Times" w:cs="Times" w:hAnsi="Times" w:eastAsia="Times"/>
          <w:sz w:val="28"/>
          <w:szCs w:val="28"/>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