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jc w:val="both"/>
        <w:rPr>
          <w:lang w:val="en-US"/>
        </w:rPr>
      </w:pPr>
    </w:p>
    <w:p>
      <w:pPr>
        <w:pStyle w:val="Normal.0"/>
        <w:jc w:val="both"/>
        <w:rPr>
          <w:lang w:val="en-US"/>
        </w:rPr>
      </w:pPr>
    </w:p>
    <w:p>
      <w:pPr>
        <w:pStyle w:val="Normal.0"/>
        <w:jc w:val="both"/>
        <w:rPr>
          <w:lang w:val="en-US"/>
        </w:rPr>
      </w:pPr>
    </w:p>
    <w:p>
      <w:pPr>
        <w:pStyle w:val="Normal.0"/>
        <w:jc w:val="both"/>
        <w:rPr>
          <w:lang w:val="en-US"/>
        </w:rPr>
      </w:pPr>
    </w:p>
    <w:p>
      <w:pPr>
        <w:pStyle w:val="Normal.0"/>
        <w:jc w:val="both"/>
        <w:rPr>
          <w:lang w:val="en-US"/>
        </w:rPr>
      </w:pPr>
    </w:p>
    <w:p>
      <w:pPr>
        <w:pStyle w:val="Normal.0"/>
        <w:jc w:val="both"/>
        <w:rPr>
          <w:lang w:val="en-US"/>
        </w:rPr>
      </w:pPr>
    </w:p>
    <w:p>
      <w:pPr>
        <w:pStyle w:val="Normal.0"/>
        <w:jc w:val="both"/>
        <w:rPr>
          <w:lang w:val="en-US"/>
        </w:rPr>
      </w:pPr>
    </w:p>
    <w:p>
      <w:pPr>
        <w:pStyle w:val="Normal.0"/>
        <w:jc w:val="both"/>
        <w:rPr>
          <w:sz w:val="22"/>
          <w:szCs w:val="22"/>
          <w:lang w:val="en-US"/>
        </w:rPr>
      </w:pPr>
      <w:r>
        <w:rPr>
          <w:sz w:val="22"/>
          <w:szCs w:val="22"/>
          <w:rtl w:val="0"/>
          <w:lang w:val="en-US"/>
        </w:rPr>
        <w:t xml:space="preserve">                                                                                                                      </w:t>
      </w:r>
    </w:p>
    <w:p>
      <w:pPr>
        <w:pStyle w:val="Normal.0"/>
        <w:jc w:val="center"/>
        <w:rPr>
          <w:color w:val="000000"/>
          <w:sz w:val="28"/>
          <w:szCs w:val="28"/>
          <w:u w:color="000000"/>
        </w:rPr>
      </w:pPr>
      <w:r>
        <w:rPr>
          <w:b w:val="1"/>
          <w:bCs w:val="1"/>
          <w:color w:val="000000"/>
          <w:sz w:val="28"/>
          <w:szCs w:val="28"/>
          <w:u w:color="000000"/>
          <w:rtl w:val="0"/>
          <w:lang w:val="en-US"/>
        </w:rPr>
        <w:t>Spontaneous closure of full thickness traumatic macular hole due to hypotony</w:t>
      </w:r>
    </w:p>
    <w:p>
      <w:pPr>
        <w:pStyle w:val="Normal.0"/>
        <w:jc w:val="center"/>
        <w:rPr>
          <w:color w:val="000000"/>
          <w:sz w:val="28"/>
          <w:szCs w:val="28"/>
          <w:u w:color="000000"/>
        </w:rPr>
      </w:pPr>
      <w:r>
        <w:rPr>
          <w:rFonts w:ascii="Arial Unicode MS" w:cs="Arial Unicode MS" w:hAnsi="Arial Unicode MS" w:eastAsia="Arial Unicode MS"/>
          <w:b w:val="0"/>
          <w:bCs w:val="0"/>
          <w:i w:val="0"/>
          <w:iCs w:val="0"/>
          <w:color w:val="000000"/>
          <w:u w:color="000000"/>
        </w:rPr>
        <w:br w:type="textWrapping"/>
      </w:r>
      <w:r>
        <w:rPr>
          <w:b w:val="1"/>
          <w:bCs w:val="1"/>
          <w:sz w:val="28"/>
          <w:szCs w:val="28"/>
          <w:rtl w:val="0"/>
          <w:lang w:val="it-IT"/>
        </w:rPr>
        <w:t xml:space="preserve">                     </w:t>
      </w:r>
      <w:r>
        <w:rPr>
          <w:color w:val="000000"/>
          <w:sz w:val="28"/>
          <w:szCs w:val="28"/>
          <w:u w:color="000000"/>
          <w:rtl w:val="0"/>
          <w:lang w:val="it-IT"/>
        </w:rPr>
        <w:t xml:space="preserve">Name: </w:t>
      </w:r>
      <w:r>
        <w:rPr>
          <w:color w:val="000000"/>
          <w:sz w:val="28"/>
          <w:szCs w:val="28"/>
          <w:u w:color="000000"/>
          <w:rtl w:val="0"/>
          <w:lang w:val="en-US"/>
        </w:rPr>
        <w:t xml:space="preserve">Rajya Laxmi Gurung </w:t>
      </w:r>
    </w:p>
    <w:p>
      <w:pPr>
        <w:pStyle w:val="Normal.0"/>
        <w:jc w:val="center"/>
        <w:rPr>
          <w:color w:val="000000"/>
          <w:sz w:val="28"/>
          <w:szCs w:val="28"/>
          <w:u w:color="000000"/>
        </w:rPr>
      </w:pPr>
      <w:r>
        <w:rPr>
          <w:sz w:val="28"/>
          <w:szCs w:val="28"/>
          <w:rtl w:val="0"/>
          <w:lang w:val="it-IT"/>
        </w:rPr>
        <w:t xml:space="preserve">                     </w:t>
      </w:r>
      <w:r>
        <w:rPr>
          <w:sz w:val="28"/>
          <w:szCs w:val="28"/>
          <w:rtl w:val="0"/>
          <w:lang w:val="en-US"/>
        </w:rPr>
        <w:t>Biratnagar Eye Hospital</w:t>
      </w:r>
      <w:r>
        <w:rPr>
          <w:color w:val="000000"/>
          <w:sz w:val="28"/>
          <w:szCs w:val="28"/>
          <w:u w:color="000000"/>
          <w:rtl w:val="0"/>
          <w:lang w:val="it-IT"/>
        </w:rPr>
        <w:t xml:space="preserve">, </w:t>
      </w:r>
      <w:r>
        <w:rPr>
          <w:color w:val="000000"/>
          <w:sz w:val="28"/>
          <w:szCs w:val="28"/>
          <w:u w:color="000000"/>
          <w:rtl w:val="0"/>
          <w:lang w:val="en-US"/>
        </w:rPr>
        <w:t xml:space="preserve">Mills Area-17 </w:t>
      </w:r>
      <w:r>
        <w:rPr>
          <w:color w:val="000000"/>
          <w:sz w:val="28"/>
          <w:szCs w:val="28"/>
          <w:u w:color="000000"/>
          <w:rtl w:val="0"/>
          <w:lang w:val="it-IT"/>
        </w:rPr>
        <w:t>,</w:t>
      </w:r>
      <w:r>
        <w:rPr>
          <w:color w:val="000000"/>
          <w:sz w:val="28"/>
          <w:szCs w:val="28"/>
          <w:u w:color="000000"/>
          <w:rtl w:val="0"/>
          <w:lang w:val="en-US"/>
        </w:rPr>
        <w:t xml:space="preserve"> Nepal</w:t>
      </w:r>
    </w:p>
    <w:p>
      <w:pPr>
        <w:pStyle w:val="Normal.0"/>
        <w:jc w:val="center"/>
        <w:rPr>
          <w:color w:val="000000"/>
          <w:u w:color="000000"/>
        </w:rPr>
      </w:pPr>
    </w:p>
    <w:p>
      <w:pPr>
        <w:pStyle w:val="Normal.0"/>
        <w:jc w:val="both"/>
        <w:rPr>
          <w:color w:val="000000"/>
          <w:sz w:val="28"/>
          <w:szCs w:val="28"/>
          <w:u w:color="000000"/>
        </w:rPr>
      </w:pPr>
      <w:r>
        <w:rPr>
          <w:i w:val="1"/>
          <w:iCs w:val="1"/>
          <w:color w:val="000000"/>
          <w:u w:color="000000"/>
          <w:rtl w:val="0"/>
          <w:lang w:val="en-US"/>
        </w:rPr>
        <w:t>I</w:t>
      </w:r>
      <w:r>
        <w:rPr>
          <w:i w:val="1"/>
          <w:iCs w:val="1"/>
          <w:color w:val="000000"/>
          <w:sz w:val="28"/>
          <w:szCs w:val="28"/>
          <w:u w:color="000000"/>
          <w:rtl w:val="0"/>
          <w:lang w:val="en-US"/>
        </w:rPr>
        <w:t>ntroduction:</w:t>
      </w:r>
      <w:r>
        <w:rPr>
          <w:color w:val="000000"/>
          <w:sz w:val="28"/>
          <w:szCs w:val="28"/>
          <w:u w:color="000000"/>
          <w:rtl w:val="0"/>
          <w:lang w:val="en-US"/>
        </w:rPr>
        <w:t xml:space="preserve"> Not only the pathogenesis but the management of traumatic macular hole is controversial. Here we describe a case of spontaneous closure of traumatic macular hole due to hypotony. </w:t>
      </w:r>
    </w:p>
    <w:p>
      <w:pPr>
        <w:pStyle w:val="Normal.0"/>
        <w:jc w:val="both"/>
        <w:rPr>
          <w:color w:val="000000"/>
          <w:sz w:val="28"/>
          <w:szCs w:val="28"/>
          <w:u w:color="000000"/>
        </w:rPr>
      </w:pPr>
      <w:r>
        <w:rPr>
          <w:i w:val="1"/>
          <w:iCs w:val="1"/>
          <w:color w:val="000000"/>
          <w:sz w:val="28"/>
          <w:szCs w:val="28"/>
          <w:u w:color="000000"/>
          <w:rtl w:val="0"/>
          <w:lang w:val="en-US"/>
        </w:rPr>
        <w:t xml:space="preserve">Method: </w:t>
      </w:r>
      <w:r>
        <w:rPr>
          <w:color w:val="000000"/>
          <w:sz w:val="28"/>
          <w:szCs w:val="28"/>
          <w:u w:color="000000"/>
          <w:rtl w:val="0"/>
          <w:lang w:val="en-US"/>
        </w:rPr>
        <w:t xml:space="preserve"> A 24 years male presented with history of trauma to left eye (LE) . On examination, the best corrected visual acuity (BCVA) in his LE was FC, there was angle recession on gonioscopy with moderate vitreous haemorrhage (VH) and traumatic cataract . Intraocular pressure (IOP) in the LE was 52 mm of Hg. Patient underwent combined pars plana vitrectomy (PPV) for VH with pars plana baerveldt tube insertion for angle recession and phacoemulsification with intra-ocular lens insertion. Intra-op, no macular hole (MH) was present. One week  post operation, the patient developed full thickness macular hole with IOP of 40 mm Hg, the hole closed spontaneously on second follow up at three weeks .   Concomitantly  hypotony was present in the LE due to opening  of the baerveldt shunt. </w:t>
      </w:r>
    </w:p>
    <w:p>
      <w:pPr>
        <w:pStyle w:val="Normal.0"/>
        <w:jc w:val="both"/>
        <w:rPr>
          <w:color w:val="000000"/>
          <w:sz w:val="28"/>
          <w:szCs w:val="28"/>
          <w:u w:color="000000"/>
        </w:rPr>
      </w:pPr>
      <w:r>
        <w:rPr>
          <w:i w:val="1"/>
          <w:iCs w:val="1"/>
          <w:color w:val="000000"/>
          <w:sz w:val="28"/>
          <w:szCs w:val="28"/>
          <w:u w:color="000000"/>
          <w:rtl w:val="0"/>
          <w:lang w:val="en-US"/>
        </w:rPr>
        <w:t xml:space="preserve">Discussion: </w:t>
      </w:r>
      <w:r>
        <w:rPr>
          <w:color w:val="000000"/>
          <w:sz w:val="28"/>
          <w:szCs w:val="28"/>
          <w:u w:color="000000"/>
          <w:rtl w:val="0"/>
          <w:lang w:val="en-US"/>
        </w:rPr>
        <w:t xml:space="preserve">Spontaneous closure of traumatic macular hole has been described in literature but this case was unique in the sense that the macular hole developed post PPV. Whether MH developed due to primary trauma or due to PPV in this case is controversial. Also, there was spontaneous closure of FTMH on third follow up at 3 weeks : at the time,   IOP  in LE was 4 mm of Hg. </w:t>
      </w:r>
    </w:p>
    <w:p>
      <w:pPr>
        <w:pStyle w:val="Normal.0"/>
        <w:jc w:val="both"/>
        <w:rPr>
          <w:color w:val="000000"/>
          <w:sz w:val="28"/>
          <w:szCs w:val="28"/>
          <w:u w:color="000000"/>
        </w:rPr>
      </w:pPr>
      <w:r>
        <w:rPr>
          <w:i w:val="1"/>
          <w:iCs w:val="1"/>
          <w:color w:val="000000"/>
          <w:sz w:val="28"/>
          <w:szCs w:val="28"/>
          <w:u w:color="000000"/>
          <w:rtl w:val="0"/>
          <w:lang w:val="en-US"/>
        </w:rPr>
        <w:t>Conclusion :</w:t>
      </w:r>
      <w:r>
        <w:rPr>
          <w:color w:val="000000"/>
          <w:sz w:val="28"/>
          <w:szCs w:val="28"/>
          <w:u w:color="000000"/>
          <w:rtl w:val="0"/>
          <w:lang w:val="en-US"/>
        </w:rPr>
        <w:t xml:space="preserve"> Though the exact mechanism of spontaneous closure of MH is controversial, hypotony may aid in the spontaneous closure of MH. </w:t>
      </w:r>
    </w:p>
    <w:p>
      <w:pPr>
        <w:pStyle w:val="Normal.0"/>
        <w:jc w:val="both"/>
        <w:rPr>
          <w:color w:val="000000"/>
          <w:sz w:val="28"/>
          <w:szCs w:val="28"/>
          <w:u w:color="000000"/>
        </w:rPr>
      </w:pPr>
    </w:p>
    <w:p>
      <w:pPr>
        <w:pStyle w:val="Normal.0"/>
        <w:jc w:val="both"/>
        <w:rPr>
          <w:b w:val="1"/>
          <w:bCs w:val="1"/>
          <w:sz w:val="28"/>
          <w:szCs w:val="28"/>
        </w:rPr>
      </w:pPr>
      <w:r>
        <w:rPr>
          <w:b w:val="1"/>
          <w:bCs w:val="1"/>
          <w:sz w:val="28"/>
          <w:szCs w:val="28"/>
          <w:rtl w:val="0"/>
          <w:lang w:val="it-IT"/>
        </w:rPr>
        <w:t>Biography</w:t>
      </w:r>
    </w:p>
    <w:p>
      <w:pPr>
        <w:pStyle w:val="Normal.0"/>
        <w:jc w:val="both"/>
        <w:rPr>
          <w:b w:val="1"/>
          <w:bCs w:val="1"/>
          <w:sz w:val="28"/>
          <w:szCs w:val="28"/>
        </w:rPr>
      </w:pPr>
    </w:p>
    <w:p>
      <w:pPr>
        <w:pStyle w:val="Normal.0"/>
        <w:jc w:val="both"/>
        <w:rPr>
          <w:sz w:val="28"/>
          <w:szCs w:val="28"/>
        </w:rPr>
      </w:pPr>
      <w:r>
        <w:rPr>
          <w:sz w:val="28"/>
          <w:szCs w:val="28"/>
          <w:rtl w:val="0"/>
          <w:lang w:val="en-US"/>
        </w:rPr>
        <w:t>Rajya Laxmi gurung , MD has completed her medical school from BPKIHS, and post graduate from TIO. She is working as a vitreo-retina fellow at Biratnagar eye hospital, Nepal since 2013. She has presented many papers in many national conferences.</w:t>
      </w:r>
    </w:p>
    <w:p>
      <w:pPr>
        <w:pStyle w:val="Normal.0"/>
        <w:jc w:val="both"/>
        <w:rPr>
          <w:b w:val="1"/>
          <w:bCs w:val="1"/>
          <w:color w:val="000000"/>
          <w:sz w:val="28"/>
          <w:szCs w:val="28"/>
          <w:u w:color="000000"/>
        </w:rPr>
      </w:pPr>
    </w:p>
    <w:p>
      <w:pPr>
        <w:pStyle w:val="Normal.0"/>
        <w:jc w:val="both"/>
        <w:rPr>
          <w:b w:val="1"/>
          <w:bCs w:val="1"/>
          <w:sz w:val="28"/>
          <w:szCs w:val="28"/>
          <w:lang w:val="en-US"/>
        </w:rPr>
      </w:pPr>
      <w:r>
        <w:rPr>
          <w:b w:val="1"/>
          <w:bCs w:val="1"/>
          <w:sz w:val="28"/>
          <w:szCs w:val="28"/>
          <w:rtl w:val="0"/>
          <w:lang w:val="en-US"/>
        </w:rPr>
        <w:t xml:space="preserve">Presenting author details </w:t>
      </w:r>
      <w:r>
        <w:rPr>
          <w:rFonts w:ascii="Arial Unicode MS" w:cs="Arial Unicode MS" w:hAnsi="Arial Unicode MS" w:eastAsia="Arial Unicode MS"/>
          <w:b w:val="0"/>
          <w:bCs w:val="0"/>
          <w:i w:val="0"/>
          <w:iCs w:val="0"/>
          <w:sz w:val="28"/>
          <w:szCs w:val="28"/>
          <w:lang w:val="en-US"/>
        </w:rPr>
        <w:br w:type="textWrapping"/>
      </w:r>
      <w:r>
        <w:rPr>
          <w:sz w:val="28"/>
          <w:szCs w:val="28"/>
          <w:rtl w:val="0"/>
          <w:lang w:val="en-US"/>
        </w:rPr>
        <w:t xml:space="preserve">Full name: </w:t>
      </w:r>
      <w:r>
        <w:rPr>
          <w:sz w:val="28"/>
          <w:szCs w:val="28"/>
          <w:rtl w:val="0"/>
          <w:lang w:val="en-US"/>
        </w:rPr>
        <w:t>Rajya Laxmi Gurung</w:t>
      </w:r>
      <w:r>
        <w:rPr>
          <w:rFonts w:ascii="Arial Unicode MS" w:cs="Arial Unicode MS" w:hAnsi="Arial Unicode MS" w:eastAsia="Arial Unicode MS"/>
          <w:b w:val="0"/>
          <w:bCs w:val="0"/>
          <w:i w:val="0"/>
          <w:iCs w:val="0"/>
          <w:sz w:val="28"/>
          <w:szCs w:val="28"/>
          <w:lang w:val="en-US"/>
        </w:rPr>
        <w:br w:type="textWrapping"/>
      </w:r>
      <w:r>
        <w:rPr>
          <w:sz w:val="28"/>
          <w:szCs w:val="28"/>
          <w:rtl w:val="0"/>
          <w:lang w:val="en-US"/>
        </w:rPr>
        <w:t>Contact number:</w:t>
      </w:r>
      <w:r>
        <w:rPr>
          <w:sz w:val="28"/>
          <w:szCs w:val="28"/>
          <w:rtl w:val="0"/>
          <w:lang w:val="en-US"/>
        </w:rPr>
        <w:t xml:space="preserve"> 9812352174</w:t>
      </w:r>
    </w:p>
    <w:p>
      <w:pPr>
        <w:pStyle w:val="Normal.0"/>
        <w:jc w:val="both"/>
        <w:rPr>
          <w:lang w:val="en-US"/>
        </w:rPr>
      </w:pPr>
      <w:r>
        <w:rPr>
          <w:sz w:val="28"/>
          <w:szCs w:val="28"/>
          <w:rtl w:val="0"/>
          <w:lang w:val="en-US"/>
        </w:rPr>
        <w:t>Session name</w:t>
      </w:r>
      <w:r>
        <w:rPr>
          <w:sz w:val="28"/>
          <w:szCs w:val="28"/>
          <w:rtl w:val="0"/>
          <w:lang w:val="en-US"/>
        </w:rPr>
        <w:t xml:space="preserve"> : Retina</w:t>
      </w:r>
      <w:r>
        <w:rPr>
          <w:rFonts w:ascii="Arial Unicode MS" w:cs="Arial Unicode MS" w:hAnsi="Arial Unicode MS" w:eastAsia="Arial Unicode MS"/>
          <w:b w:val="0"/>
          <w:bCs w:val="0"/>
          <w:i w:val="0"/>
          <w:iCs w:val="0"/>
          <w:sz w:val="28"/>
          <w:szCs w:val="28"/>
          <w:lang w:val="en-US"/>
        </w:rPr>
        <w:br w:type="textWrapping"/>
      </w:r>
      <w:r>
        <w:rPr>
          <w:sz w:val="28"/>
          <w:szCs w:val="28"/>
          <w:rtl w:val="0"/>
          <w:lang w:val="en-US"/>
        </w:rPr>
        <w:t>Category: Oral presentation</w:t>
      </w:r>
      <w:r>
        <w:rPr>
          <w:sz w:val="28"/>
          <w:szCs w:val="28"/>
          <w:rtl w:val="0"/>
          <w:lang w:val="en-US"/>
        </w:rPr>
        <w:t xml:space="preserve"> </w:t>
      </w:r>
      <w:r>
        <w:rPr>
          <w:rFonts w:ascii="Arial Unicode MS" w:cs="Arial Unicode MS" w:hAnsi="Arial Unicode MS" w:eastAsia="Arial Unicode MS"/>
          <w:b w:val="0"/>
          <w:bCs w:val="0"/>
          <w:i w:val="0"/>
          <w:iCs w:val="0"/>
          <w:lang w:val="en-US"/>
        </w:rPr>
        <w:br w:type="textWrapping"/>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