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5"/>
        <w:tblW w:w="10501" w:type="dxa"/>
        <w:tblInd w:w="-6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32"/>
        <w:gridCol w:w="64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After w:val="1"/>
          <w:wAfter w:w="6469" w:type="dxa"/>
          <w:trHeight w:val="708" w:hRule="atLeast"/>
        </w:trPr>
        <w:tc>
          <w:tcPr>
            <w:tcW w:w="4032" w:type="dxa"/>
            <w:tcBorders>
              <w:top w:val="single" w:color="000000" w:sz="4" w:space="0"/>
              <w:left w:val="single" w:color="000000" w:sz="4" w:space="0"/>
              <w:bottom w:val="single" w:color="000000" w:sz="4" w:space="0"/>
              <w:right w:val="single" w:color="000000" w:sz="4" w:space="0"/>
            </w:tcBorders>
            <w:shd w:val="clear" w:color="auto" w:fill="00B0F0"/>
            <w:vAlign w:val="top"/>
          </w:tcPr>
          <w:p>
            <w:pPr>
              <w:autoSpaceDE w:val="0"/>
              <w:autoSpaceDN w:val="0"/>
              <w:adjustRightInd w:val="0"/>
              <w:spacing w:after="0" w:line="240" w:lineRule="auto"/>
              <w:rPr>
                <w:rFonts w:ascii="Times New Roman" w:hAnsi="Times New Roman"/>
                <w:b/>
                <w:color w:val="FFFFFF"/>
                <w:sz w:val="28"/>
                <w:szCs w:val="20"/>
                <w:lang w:eastAsia="en-IN"/>
              </w:rPr>
            </w:pPr>
            <w:r>
              <w:rPr>
                <w:rFonts w:ascii="Times New Roman" w:hAnsi="Times New Roman"/>
                <w:b/>
                <w:color w:val="FFFFFF"/>
                <w:sz w:val="28"/>
                <w:szCs w:val="20"/>
                <w:lang w:eastAsia="en-IN"/>
              </w:rPr>
              <w:t>Title of presentation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64" w:hRule="atLeast"/>
        </w:trPr>
        <w:tc>
          <w:tcPr>
            <w:tcW w:w="10501" w:type="dxa"/>
            <w:gridSpan w:val="2"/>
            <w:tcBorders>
              <w:top w:val="single" w:color="000000" w:sz="4" w:space="0"/>
              <w:left w:val="single" w:color="000000" w:sz="4" w:space="0"/>
              <w:bottom w:val="single" w:color="000000" w:sz="4" w:space="0"/>
              <w:right w:val="single" w:color="000000" w:sz="4" w:space="0"/>
            </w:tcBorders>
            <w:vAlign w:val="top"/>
          </w:tcPr>
          <w:p>
            <w:pPr>
              <w:autoSpaceDE w:val="0"/>
              <w:autoSpaceDN w:val="0"/>
              <w:adjustRightInd w:val="0"/>
              <w:spacing w:after="0" w:line="240" w:lineRule="auto"/>
              <w:rPr>
                <w:rFonts w:ascii="Times New Roman" w:hAnsi="Times New Roman"/>
                <w:b/>
                <w:color w:val="0070C0"/>
                <w:sz w:val="28"/>
                <w:szCs w:val="20"/>
                <w:lang w:eastAsia="en-IN"/>
              </w:rPr>
            </w:pPr>
          </w:p>
          <w:p>
            <w:pPr>
              <w:jc w:val="both"/>
              <w:rPr>
                <w:rFonts w:ascii="Times New Roman" w:hAnsi="Times New Roman"/>
                <w:b/>
                <w:color w:val="0070C0"/>
                <w:sz w:val="28"/>
                <w:szCs w:val="20"/>
                <w:lang w:eastAsia="en-IN"/>
              </w:rPr>
            </w:pPr>
            <w:r>
              <w:rPr>
                <w:b/>
                <w:bCs/>
                <w:sz w:val="24"/>
                <w:szCs w:val="24"/>
              </w:rPr>
              <w:t>Title</w:t>
            </w:r>
            <w:r>
              <w:rPr>
                <w:sz w:val="24"/>
                <w:szCs w:val="24"/>
              </w:rPr>
              <w:t>: Efficacy of Anti-suppression therapy in improving binocularity in children with Esotropia.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135" w:hRule="atLeast"/>
        </w:trPr>
        <w:tc>
          <w:tcPr>
            <w:tcW w:w="10501" w:type="dxa"/>
            <w:gridSpan w:val="2"/>
            <w:tcBorders>
              <w:top w:val="single" w:color="000000" w:sz="4" w:space="0"/>
              <w:left w:val="single" w:color="000000" w:sz="4" w:space="0"/>
              <w:bottom w:val="single" w:color="000000" w:sz="4" w:space="0"/>
              <w:right w:val="single" w:color="000000" w:sz="4" w:space="0"/>
            </w:tcBorders>
            <w:vAlign w:val="top"/>
          </w:tcPr>
          <w:p>
            <w:pPr>
              <w:autoSpaceDE w:val="0"/>
              <w:autoSpaceDN w:val="0"/>
              <w:adjustRightInd w:val="0"/>
              <w:spacing w:after="0" w:line="240" w:lineRule="auto"/>
              <w:rPr>
                <w:rFonts w:ascii="Times New Roman" w:hAnsi="Times New Roman"/>
                <w:b/>
                <w:szCs w:val="24"/>
              </w:rPr>
            </w:pPr>
            <w:bookmarkStart w:id="0" w:name="_GoBack"/>
          </w:p>
          <w:p>
            <w:pPr>
              <w:jc w:val="both"/>
              <w:rPr>
                <w:sz w:val="24"/>
                <w:szCs w:val="24"/>
              </w:rPr>
            </w:pPr>
            <w:r>
              <w:rPr>
                <w:b/>
                <w:bCs/>
                <w:sz w:val="24"/>
                <w:szCs w:val="24"/>
              </w:rPr>
              <w:t>Purpose</w:t>
            </w:r>
            <w:r>
              <w:rPr>
                <w:sz w:val="24"/>
                <w:szCs w:val="24"/>
              </w:rPr>
              <w:t xml:space="preserve">: To evaluate the efficacy of anti-suppression exercises in children with small angle esotropia in achieving binocular vision. </w:t>
            </w:r>
          </w:p>
          <w:p>
            <w:pPr>
              <w:jc w:val="both"/>
              <w:rPr>
                <w:sz w:val="24"/>
                <w:szCs w:val="24"/>
              </w:rPr>
            </w:pPr>
            <w:r>
              <w:rPr>
                <w:b/>
                <w:bCs/>
                <w:sz w:val="24"/>
                <w:szCs w:val="24"/>
              </w:rPr>
              <w:t>Methods</w:t>
            </w:r>
            <w:r>
              <w:rPr>
                <w:sz w:val="24"/>
                <w:szCs w:val="24"/>
              </w:rPr>
              <w:t>: Retrospective review of patients between ages three to eight years who underwent anti-suppression exercises for either monocular or alternate suppression from January 2009 to December 2013. All patients with esotropia less than 20 PD and visual acuity more than 6/12 were included. Those with previous intra-ocular surgery or follow up less than three months were excluded. Success was defined as presence of binocularity as measured with either 4 prism base out test or Worth 4 dot test in the last two follow up visits.</w:t>
            </w:r>
          </w:p>
          <w:p>
            <w:pPr>
              <w:jc w:val="both"/>
              <w:rPr>
                <w:sz w:val="24"/>
                <w:szCs w:val="24"/>
              </w:rPr>
            </w:pPr>
            <w:r>
              <w:rPr>
                <w:b/>
                <w:bCs/>
                <w:sz w:val="24"/>
                <w:szCs w:val="24"/>
              </w:rPr>
              <w:t>Results</w:t>
            </w:r>
            <w:r>
              <w:rPr>
                <w:sz w:val="24"/>
                <w:szCs w:val="24"/>
              </w:rPr>
              <w:t xml:space="preserve">: Fourteen patients with mean age of 5.1 years (range 3 to 8 years) at the time of initiation of exercises were included. The gender ratio was equal. Mean BCVA was 0.18 </w:t>
            </w:r>
            <w:r>
              <w:rPr>
                <w:sz w:val="24"/>
                <w:szCs w:val="24"/>
                <w:lang w:val="en-US"/>
              </w:rPr>
              <w:t>Log Mar</w:t>
            </w:r>
            <w:r>
              <w:rPr>
                <w:sz w:val="24"/>
                <w:szCs w:val="24"/>
              </w:rPr>
              <w:t xml:space="preserve"> units and mean spherical equivalent was +3.8. Accommodative esotropia, post-operative infantile esotropia and microtropia were seen in 11, two and one subject respectively. Patients received either office based, home based or both modes of treatment for an average duration of 4.8 months (range 3 – 10). Binocularity was achieved in 85.7% (95% CI = 67.36% to 104.04%). Binocular single vision for both distance and near was seen in 50% of children. Stereopsis improved to more than 200 sec of arc in 50%. Failure was seen in both the children with infantile esotropia. Recurrence was seen in 3 subjects after six months of follow up.</w:t>
            </w:r>
          </w:p>
          <w:p>
            <w:pPr>
              <w:jc w:val="both"/>
              <w:rPr>
                <w:rFonts w:ascii="Times New Roman" w:hAnsi="Times New Roman"/>
                <w:b/>
                <w:szCs w:val="24"/>
              </w:rPr>
            </w:pPr>
            <w:r>
              <w:rPr>
                <w:b/>
                <w:bCs/>
                <w:sz w:val="24"/>
                <w:szCs w:val="24"/>
              </w:rPr>
              <w:t>Conclusions</w:t>
            </w:r>
            <w:r>
              <w:rPr>
                <w:sz w:val="24"/>
                <w:szCs w:val="24"/>
              </w:rPr>
              <w:t xml:space="preserve">: Anti-suppression exercises may be beneficial in children with accommodative esotropia in restoring binocularity however recurrences are not uncommon.  </w:t>
            </w:r>
          </w:p>
        </w:tc>
      </w:tr>
      <w:bookmarkEnd w:id="0"/>
    </w:tbl>
    <w:p>
      <w:pPr>
        <w:rPr>
          <w:lang w:val="en-US"/>
        </w:rPr>
      </w:pPr>
    </w:p>
    <w:sectPr>
      <w:headerReference r:id="rId3" w:type="default"/>
      <w:footerReference r:id="rId4"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modern"/>
    <w:pitch w:val="default"/>
    <w:sig w:usb0="A00002EF" w:usb1="4000004B"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decorative"/>
    <w:pitch w:val="default"/>
    <w:sig w:usb0="E0002AFF" w:usb1="C0007843" w:usb2="00000009" w:usb3="00000000" w:csb0="400001FF" w:csb1="FFFF0000"/>
  </w:font>
  <w:font w:name="Courier New">
    <w:panose1 w:val="02070309020205020404"/>
    <w:charset w:val="00"/>
    <w:family w:val="swiss"/>
    <w:pitch w:val="default"/>
    <w:sig w:usb0="E0002AFF" w:usb1="C0007843" w:usb2="00000009" w:usb3="00000000" w:csb0="400001FF" w:csb1="FFFF0000"/>
  </w:font>
  <w:font w:name="Cambria">
    <w:panose1 w:val="02040503050406030204"/>
    <w:charset w:val="00"/>
    <w:family w:val="swiss"/>
    <w:pitch w:val="default"/>
    <w:sig w:usb0="A00002EF" w:usb1="4000004B" w:usb2="00000000" w:usb3="00000000" w:csb0="2000019F" w:csb1="00000000"/>
  </w:font>
  <w:font w:name="Calibri">
    <w:panose1 w:val="020F0502020204030204"/>
    <w:charset w:val="00"/>
    <w:family w:val="roman"/>
    <w:pitch w:val="default"/>
    <w:sig w:usb0="E10002FF" w:usb1="4000ACFF" w:usb2="00000009" w:usb3="00000000" w:csb0="2000019F" w:csb1="00000000"/>
  </w:font>
  <w:font w:name="Calibri">
    <w:panose1 w:val="020F0502020204030204"/>
    <w:charset w:val="86"/>
    <w:family w:val="decorative"/>
    <w:pitch w:val="default"/>
    <w:sig w:usb0="E10002FF" w:usb1="4000ACFF" w:usb2="00000009" w:usb3="00000000" w:csb0="2000019F" w:csb1="00000000"/>
  </w:font>
  <w:font w:name="Symbol">
    <w:panose1 w:val="05050102010706020507"/>
    <w:charset w:val="02"/>
    <w:family w:val="modern"/>
    <w:pitch w:val="default"/>
    <w:sig w:usb0="00000000" w:usb1="00000000" w:usb2="00000000" w:usb3="00000000" w:csb0="80000000" w:csb1="00000000"/>
  </w:font>
  <w:font w:name="Tahoma">
    <w:panose1 w:val="020B0604030504040204"/>
    <w:charset w:val="00"/>
    <w:family w:val="decorative"/>
    <w:pitch w:val="default"/>
    <w:sig w:usb0="E1002EFF" w:usb1="C000605B" w:usb2="00000029" w:usb3="00000000" w:csb0="200101FF" w:csb1="20280000"/>
  </w:font>
  <w:font w:name="Mangal">
    <w:panose1 w:val="02040503050203030202"/>
    <w:charset w:val="00"/>
    <w:family w:val="auto"/>
    <w:pitch w:val="default"/>
    <w:sig w:usb0="00008003" w:usb1="00000000" w:usb2="00000000" w:usb3="00000000" w:csb0="00000001" w:csb1="00000000"/>
  </w:font>
  <w:font w:name="Eras Medium ITC">
    <w:altName w:val="Lucida Sans Unicode"/>
    <w:panose1 w:val="020B0602030504020804"/>
    <w:charset w:val="00"/>
    <w:family w:val="decorative"/>
    <w:pitch w:val="default"/>
    <w:sig w:usb0="00000000" w:usb1="00000000" w:usb2="00000000" w:usb3="00000000" w:csb0="00000001" w:csb1="00000000"/>
  </w:font>
  <w:font w:name="Helvetica">
    <w:altName w:val="Arial"/>
    <w:panose1 w:val="020B0604020202020204"/>
    <w:charset w:val="00"/>
    <w:family w:val="decorative"/>
    <w:pitch w:val="default"/>
    <w:sig w:usb0="00000000" w:usb1="00000000" w:usb2="00000008" w:usb3="00000000" w:csb0="000001FF" w:csb1="00000000"/>
  </w:font>
  <w:font w:name="Berkeley-Medium">
    <w:altName w:val="Segoe Print"/>
    <w:panose1 w:val="00000000000000000000"/>
    <w:charset w:val="00"/>
    <w:family w:val="modern"/>
    <w:pitch w:val="default"/>
    <w:sig w:usb0="00000000" w:usb1="00000000" w:usb2="00000000" w:usb3="00000000" w:csb0="00000001" w:csb1="00000000"/>
  </w:font>
  <w:font w:name="Verdana">
    <w:panose1 w:val="020B0604030504040204"/>
    <w:charset w:val="00"/>
    <w:family w:val="decorative"/>
    <w:pitch w:val="default"/>
    <w:sig w:usb0="A10006FF" w:usb1="4000205B" w:usb2="00000010" w:usb3="00000000" w:csb0="2000019F" w:csb1="00000000"/>
  </w:font>
  <w:font w:name="MS Minngs">
    <w:altName w:val="MS Mincho"/>
    <w:panose1 w:val="00000000000000000000"/>
    <w:charset w:val="80"/>
    <w:family w:val="modern"/>
    <w:pitch w:val="default"/>
    <w:sig w:usb0="00000000" w:usb1="00000000" w:usb2="00000010" w:usb3="00000000" w:csb0="00020000" w:csb1="00000000"/>
  </w:font>
  <w:font w:name="+mn-ea">
    <w:altName w:val="Arial Unicode MS"/>
    <w:panose1 w:val="00000000000000000000"/>
    <w:charset w:val="00"/>
    <w:family w:val="modern"/>
    <w:pitch w:val="default"/>
    <w:sig w:usb0="00000000" w:usb1="00000000" w:usb2="00000000" w:usb3="00000000" w:csb0="00040001" w:csb1="00000000"/>
  </w:font>
  <w:font w:name="+mn-cs">
    <w:altName w:val="Arial Unicode MS"/>
    <w:panose1 w:val="00000000000000000000"/>
    <w:charset w:val="00"/>
    <w:family w:val="modern"/>
    <w:pitch w:val="default"/>
    <w:sig w:usb0="00000000" w:usb1="00000000" w:usb2="00000000" w:usb3="00000000" w:csb0="00040001" w:csb1="00000000"/>
  </w:font>
  <w:font w:name="Comic Sans MS">
    <w:panose1 w:val="030F0702030302020204"/>
    <w:charset w:val="00"/>
    <w:family w:val="script"/>
    <w:pitch w:val="default"/>
    <w:sig w:usb0="00000287" w:usb1="00000000" w:usb2="00000000" w:usb3="00000000" w:csb0="2000009F" w:csb1="00000000"/>
  </w:font>
  <w:font w:name="Lucida Sans Unicode">
    <w:panose1 w:val="020B0602030504020204"/>
    <w:charset w:val="00"/>
    <w:family w:val="auto"/>
    <w:pitch w:val="default"/>
    <w:sig w:usb0="80001AFF" w:usb1="0000396B" w:usb2="00000000" w:usb3="00000000" w:csb0="200000BF" w:csb1="D7F70000"/>
  </w:font>
  <w:font w:name="Lucida Sans Unicode">
    <w:panose1 w:val="020B0602030504020204"/>
    <w:charset w:val="00"/>
    <w:family w:val="decorative"/>
    <w:pitch w:val="default"/>
    <w:sig w:usb0="80001AFF" w:usb1="0000396B" w:usb2="00000000" w:usb3="00000000" w:csb0="200000BF" w:csb1="D7F7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modern"/>
    <w:pitch w:val="default"/>
    <w:sig w:usb0="0000028F" w:usb1="00000000" w:usb2="00000000" w:usb3="00000000" w:csb0="2000009F" w:csb1="47010000"/>
  </w:font>
  <w:font w:name="MS Mincho">
    <w:panose1 w:val="02020609040205080304"/>
    <w:charset w:val="80"/>
    <w:family w:val="auto"/>
    <w:pitch w:val="default"/>
    <w:sig w:usb0="E00002FF" w:usb1="6AC7FDFB" w:usb2="00000012" w:usb3="00000000" w:csb0="4002009F" w:csb1="DFD7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3"/>
    </w:pPr>
  </w:p>
  <w:p>
    <w:pPr>
      <w:pStyle w:val="3"/>
    </w:pPr>
  </w:p>
  <w:p>
    <w:pPr>
      <w:pStyle w:val="3"/>
    </w:pPr>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853F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sz w:val="22"/>
      <w:szCs w:val="22"/>
      <w:lang w:val="en-US" w:eastAsia="en-US"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Office_10.1.0.5671_F1E327BC-269C-435d-A152-05C5408002CA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2016-08-29T05:52:31Z</dcterms:created>
  <dc:creator>sceh</dc:creator>
  <cp:lastModifiedBy>sceh</cp:lastModifiedBy>
  <dcterms:modified xsi:type="dcterms:W3CDTF">2016-08-29T05:57:14Z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1033-10.1.0.5671</vt:lpwstr>
  </property>
</Properties>
</file>